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أول وقت الصبح-كتاب المواقيت-سنن النسائي — رقم الحديث: 544 — الرقم الفرعي: 99 — الرقم الأصلي: 544</w:t>
        <w:br/>
      </w:r>
      <w:r>
        <w:rPr>
          <w:rtl w:val="1"/>
        </w:rPr>
        <w:t xml:space="preserve"> أخبرنا عليّ بن حُجر قال:حدثنا إسماعيل قال:حدثنا حميد عن أنس</w:t>
        <w:br/>
      </w:r>
      <w:r>
        <w:rPr>
          <w:color w:val="FF0000"/>
          <w:rtl w:val="1"/>
        </w:rPr>
        <w:t xml:space="preserve">أنَّ رجُلًا أتَى النّبيَّ صلى الله عليه وسلم فسألَه عن وقتِ صَلاةِ الغَدَاة، </w:t>
      </w:r>
      <w:r>
        <w:rPr>
          <w:color w:val="FF0000"/>
          <w:rtl w:val="1"/>
        </w:rPr>
        <w:t xml:space="preserve">فلمَّا أَصبَحنا مِن الغَدِ أَمرَ حينَ انشَقَّ الفَجرُ أن تُقامَ الصَّلاةُ، فصَلَّى بِنا، </w:t>
      </w:r>
      <w:r>
        <w:rPr>
          <w:color w:val="000000"/>
          <w:rtl w:val="1"/>
        </w:rPr>
        <w:t xml:space="preserve">فلمَّا كان مِن الغَدِ أسْفَرَ، ثم أَمَرَ فأُقيمتِ الصَّلاةُ، فصَلَّى بنا، </w:t>
      </w:r>
      <w:r>
        <w:rPr>
          <w:color w:val="000000"/>
          <w:rtl w:val="1"/>
        </w:rPr>
        <w:t xml:space="preserve">ثم قال: «أينَ السائلُ عن وقتِ الصَّلاة؟ ما بينَ هذينِ وَقتٌ».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دخول وقت الصلاة - شروط صحة الصلاة</w:t>
      </w:r>
    </w:p>
    <w:p>
      <w:pPr>
        <w:bidi w:val="1"/>
        <w:jc w:val="start"/>
      </w:pPr>
      <w:r>
        <w:rPr>
          <w:rtl w:val="1"/>
        </w:rPr>
        <w:t>الشرح: الدلالة: تقدير الوقت وتوظيفه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