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15 — الرقم الفرعي: 99 — الرقم الأصلي: 15 — ج: 18 — ص: 12</w:t>
        <w:br/>
      </w:r>
      <w:r>
        <w:rPr>
          <w:rtl w:val="1"/>
        </w:rPr>
        <w:t xml:space="preserve"> حدثنا أحمد بن عمرو الزِّئبقيّ، وأحمد بن عبد العزيز الجوهريّ، قالا: حدثنا زكريا بن يحيى المقري، حدثنا الأصمعيّ، حدثنا عثمان بن الشحام، عن أبي رجاء العطارديّ، قال الأصمعيّ: وهو عمران بن تيم مولى لهم،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 العدَّاء بنُ خالد بن هَوْذة: ألَا أُقرِئكُم كتابًا كتبَه لي رسولُ الله ﷺ؟ قلنا: بلى،  </w:t>
      </w:r>
      <w:r>
        <w:rPr>
          <w:color w:val="FF0000"/>
          <w:rtl w:val="1"/>
        </w:rPr>
        <w:t xml:space="preserve">فإذا فيه مكتوب: «بسم الله الرَّحمن الرَّحيم، هذا ما اشتَرى العدَّاء بن خالد بنِ هَوْذة من محمدٍ رسولِ الله ﷺ، اشتَرى منه عبدًا - أَو أمَةً، شَكَّ عثمانُ – بياعةُ، أو بيعُ المُسلم، لا داءَ ولا غائلةَ ولا خِبْثة».  </w:t>
      </w:r>
      <w:r>
        <w:rPr>
          <w:color w:val="FF0000"/>
          <w:rtl w:val="1"/>
        </w:rPr>
        <w:t xml:space="preserve">قال الأَصمعيّ: سألتُ سعيدَ بنَ أَبي عَروبةَ عن الغائِلة؟ فقال: الإباقُ والسَّرِقةُ والزِّنا،  </w:t>
      </w:r>
      <w:r>
        <w:rPr>
          <w:color w:val="000000"/>
          <w:rtl w:val="1"/>
        </w:rPr>
        <w:t xml:space="preserve">وسألتُه عن الخِبْثة؟ قال: بيعُ أهلِ عهدِ المُسلمين.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بيع العبد الآبق - أن لا يكون المبيع مقدور التسليم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