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6767 — الرقم الفرعي: 99 — الرقم الأصلي: 6767 — ج: 15 — ص: 169</w:t>
        <w:br/>
      </w:r>
      <w:r>
        <w:rPr>
          <w:rtl w:val="1"/>
        </w:rPr>
        <w:t xml:space="preserve"> أخبرنا أحمد بن علي بن المثنى، قال: حدثنا إبراهيم بن الحجاج السامي، قال: حدثنا عبد الواحد بن زياد، قال: حدثنا عثمان بن حكيم، قال: حدثنا أبو أمامة بن سهل بن حنيف، عن عبد الله بن عمرو قال: قال رسول الله ﷺ:</w:t>
        <w:br/>
      </w:r>
      <w:r>
        <w:rPr>
          <w:color w:val="FF0000"/>
          <w:rtl w:val="1"/>
        </w:rPr>
        <w:t xml:space="preserve">«لا تقومُ السَّاعةُ حتّى تَتَسافَدوا في الطَّريقِ تَسافُد الحَمير»  </w:t>
      </w:r>
      <w:r>
        <w:rPr>
          <w:color w:val="FF0000"/>
          <w:rtl w:val="1"/>
        </w:rPr>
        <w:t xml:space="preserve">قلت: إنَّ ذاك لَكائِن؟! قال: «نعم لَيكونَنَّ».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