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13803 — الرقم الفرعي: 99 — الرقم الأصلي: 13803</w:t>
        <w:br/>
      </w:r>
      <w:r>
        <w:rPr>
          <w:rtl w:val="1"/>
        </w:rPr>
        <w:t xml:space="preserve"> حدثنا عبد الله حدثني أبي ثنا عليّ بن إسحاق ثنا عبد الله قال:أنا عبيد الله بن موهب عن مالك بن محمد بن حارثة الأنصاريّ أنّ أنس بن مالك قال:قال رسول الله صلى الله عليه وسلم</w:t>
        <w:br/>
      </w:r>
      <w:r>
        <w:rPr>
          <w:color w:val="FF0000"/>
          <w:rtl w:val="1"/>
        </w:rPr>
        <w:t xml:space="preserve">«ما مِن رَجُل يُنعِشُ لِسانُه حقًّا يُعمَلُ به بعدَه، إلّا أُجرِي عليه أَجرُه إلى يومِ القِيامةِ، ثم وفّاهُ اللهُ ثَوابَه يومَ القِيامَة».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قول الحق الذي يُعمل به بعد موته - المنجيات من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