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الرقبى-كتاب الهبات-سنن ابن ماجة — رقم الحديث: 2382 — الرقم الفرعي: 99 — الرقم الأصلي: 2382</w:t>
        <w:br/>
      </w:r>
      <w:r>
        <w:rPr>
          <w:rtl w:val="1"/>
        </w:rPr>
        <w:t xml:space="preserve"> حدثنا إسحاق بن منصور أنبأنا عبد الرزاق أنبأنا ابن جريج عن عطاء عن حبيب بن أبي ثابت عن ابن عمر قال:قال رسول الله صلى الله عليه وسلم</w:t>
        <w:br/>
      </w:r>
      <w:r>
        <w:rPr>
          <w:color w:val="FF0000"/>
          <w:rtl w:val="1"/>
        </w:rPr>
        <w:t xml:space="preserve">«لا رُقبَى، فمَن أُرقِبَ شيئًا، فهوَ له، حياتَه ومماتَه».  </w:t>
      </w:r>
      <w:r>
        <w:rPr>
          <w:color w:val="FF0000"/>
          <w:rtl w:val="1"/>
        </w:rPr>
        <w:t xml:space="preserve">قال: والرُّقبَى؛ أن يقولَ: هوَ للآخِرِ مِنِّي ومِنكَ موتًا.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