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25029 — الرقم الفرعي: 99 — الرقم الأصلي: 25029 — ج: 6 — ص: 134</w:t>
        <w:br/>
      </w:r>
      <w:r>
        <w:rPr>
          <w:rtl w:val="1"/>
        </w:rPr>
        <w:t xml:space="preserve"> حدثنا عبد الله حدثني أبي ثنا عليّ بن عاصم عن حصين بن عبد الرحمن عن عمر بن قيس عن محمد بن الأشعث عن عائشة</w:t>
        <w:br/>
      </w:r>
      <w:r>
        <w:rPr>
          <w:color w:val="000000"/>
          <w:rtl w:val="1"/>
        </w:rPr>
        <w:t xml:space="preserve">قالت: بَينا أَنا عندَ النّبيِّ ﷺ إذ استأذَنَ رَجلٌ من اليَهود، فأُذِنَ له،  </w:t>
      </w:r>
      <w:r>
        <w:rPr>
          <w:color w:val="000000"/>
          <w:rtl w:val="1"/>
        </w:rPr>
        <w:t xml:space="preserve">فقال: السَّامُ عليك، فقالَ النّبيُّ ﷺ: «وعليك»  </w:t>
      </w:r>
      <w:r>
        <w:rPr>
          <w:color w:val="000000"/>
          <w:rtl w:val="1"/>
        </w:rPr>
        <w:t xml:space="preserve">قالت: فهَممتُ أن أَتكلَّم،  </w:t>
      </w:r>
      <w:r>
        <w:rPr>
          <w:color w:val="000000"/>
          <w:rtl w:val="1"/>
        </w:rPr>
        <w:t xml:space="preserve">قالت: ثم دَخلَ الثانية، فقالَ مِثلَ ذلك، فقالَ النّبيُّ ﷺ: «وعليك»  </w:t>
      </w:r>
      <w:r>
        <w:rPr>
          <w:color w:val="000000"/>
          <w:rtl w:val="1"/>
        </w:rPr>
        <w:t xml:space="preserve">قالت: ثم دَخلَ الثالثة، فقال: السَّامُ عليك. قالت: فقلتُ: بل السَّامُ عليكُم وغَضَبُ اللهِ إخوانَ القِرَدةِ والخَنازير، أتُحَيُّونَ رَسولَ الله ﷺ بما لم يُحَيِّهِ به الله؟!  </w:t>
      </w:r>
      <w:r>
        <w:rPr>
          <w:color w:val="000000"/>
          <w:rtl w:val="1"/>
        </w:rPr>
        <w:t xml:space="preserve">قالت: فنَظَرَ إليَّ، فقال:  </w:t>
      </w:r>
      <w:r>
        <w:rPr>
          <w:color w:val="000000"/>
          <w:rtl w:val="1"/>
        </w:rPr>
        <w:t xml:space="preserve">«مَهْ، إنَّ اللهَ لا يُحِبُّ الفُحشَ ولا التَّفحُّشَ،  </w:t>
      </w:r>
      <w:r>
        <w:rPr>
          <w:color w:val="000000"/>
          <w:rtl w:val="1"/>
        </w:rPr>
        <w:t xml:space="preserve">قالوا قولًا، فرَدَدْناهُ عليهم، فلم يَضُرَّنا شيء، ولَزِمَهم إلى يومِ القِيامة،  </w:t>
      </w:r>
      <w:r>
        <w:rPr>
          <w:color w:val="FF0000"/>
          <w:rtl w:val="1"/>
        </w:rPr>
        <w:t xml:space="preserve">إنّهم لا يَحسُدُونا على شيءٍ كما يَحسُدُونا على يوم الجُمُعةِ التي هدانا اللهُ لها وضَلُّوا عنها،  </w:t>
      </w:r>
      <w:r>
        <w:rPr>
          <w:color w:val="000000"/>
          <w:rtl w:val="1"/>
        </w:rPr>
        <w:t xml:space="preserve">وعلى القِبلةِ التي هدانا الله لها وضَلُّوا عنها،  </w:t>
      </w:r>
      <w:r>
        <w:rPr>
          <w:color w:val="FF0000"/>
          <w:rtl w:val="1"/>
        </w:rPr>
        <w:t xml:space="preserve">وعلى قولِنا خلفَ الإمام: آمِين».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قول الإمام (آمين) بعد الفاتحة - قراءة الإمام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التأمين في الصلاة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