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المشي والركوب إلى العيد بغير أذان ولا إقامة-كتاب الصلاة-صحيح البخاري — رقم الحديث: 958 — الرقم الفرعي: 99 — الرقم الأصلي: 958</w:t>
        <w:br/>
      </w:r>
      <w:r>
        <w:rPr>
          <w:rtl w:val="1"/>
        </w:rPr>
        <w:t xml:space="preserve"> حدثنا إبراهيم بن موسى قال: أخبرنا هشام أنّ ابن جريج أخبرهم قال:أخبرني عطاء عن جابر بن عبد الله</w:t>
        <w:br/>
      </w:r>
      <w:r>
        <w:rPr>
          <w:color w:val="000000"/>
          <w:rtl w:val="1"/>
        </w:rPr>
        <w:t xml:space="preserve">قال: سمعتُه يقولُ:  </w:t>
      </w:r>
      <w:r>
        <w:rPr>
          <w:color w:val="FF0000"/>
          <w:rtl w:val="1"/>
        </w:rPr>
        <w:t xml:space="preserve">إنَّ النبيَّ ﷺ خَرَجَ يومَ الفِطْرِ فبَدَأَ بالصَّلاةِ قبلَ الخُطْبةِ.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الخطبة بعد الصلاة - خطبة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