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التوجّه نحو القِبلة حيث كان-كتاب الصلاة-صحيح البخاري — رقم الحديث: 400 — الرقم الفرعي: 99 — الرقم الأصلي: 400</w:t>
        <w:br/>
      </w:r>
      <w:r>
        <w:rPr>
          <w:rtl w:val="1"/>
        </w:rPr>
        <w:t xml:space="preserve"> حدثنا مسلم قال:حدثنا هشام قال:حدثنا يحيى بن أبي كثير عن محمد بن عبد الرحمن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يُصلِّي على راحِلتِه حيثُ تَوَجَّهَتْ،  </w:t>
      </w:r>
      <w:r>
        <w:rPr>
          <w:color w:val="FF0000"/>
          <w:rtl w:val="1"/>
        </w:rPr>
        <w:t xml:space="preserve">فإذا أرادَ الفَرِيضةَ نَزَلَ فاستَقبَلَ القِبْلةَ.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الفريضة - استقبال القبلة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النافلة - استقبال القبلة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الفريضة مستقبلًا القبلة على الأرض دون الراحلة - صلاة النبي ﷺ للفرائض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