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127 — الرقم الفرعي: 99 — الرقم الأصلي: 127 — ج: 1 — ص: 46</w:t>
        <w:br/>
      </w:r>
      <w:r>
        <w:rPr>
          <w:color w:val="FF0000"/>
          <w:rtl w:val="1"/>
        </w:rPr>
        <w:t xml:space="preserve">أنَّ رسولَ الله ﷺ أَمَرَ برأسِ الحَسن والحُسين ابنَي عليِّ بن أَبي طالبٍ يومَ سابِعِهما فحُلِق، ثم تَصَدَّق بوَزنِه فِضَّةً،  </w:t>
      </w:r>
      <w:r>
        <w:rPr>
          <w:color w:val="FF0000"/>
          <w:rtl w:val="1"/>
        </w:rPr>
        <w:t xml:space="preserve">ولم يَجِد ذَبحًا.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رحمته ﷺ بالحسن والحسين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