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797 — الرقم الفرعي: 99 — الرقم الأصلي: 797</w:t>
        <w:br/>
      </w:r>
      <w:r>
        <w:rPr>
          <w:rtl w:val="1"/>
        </w:rPr>
        <w:t xml:space="preserve"> حدثنا معاذ بن فضالة قال:حدثنا هشام عن يحيى عن أبي سلمة عن أبي هريرة</w:t>
        <w:br/>
      </w:r>
      <w:r>
        <w:rPr>
          <w:color w:val="FF0000"/>
          <w:rtl w:val="1"/>
        </w:rPr>
        <w:t xml:space="preserve">قال: لأُ قَرِّبَنَّ صلاةَ النبيِّ ﷺ، </w:t>
      </w:r>
      <w:r>
        <w:rPr>
          <w:color w:val="FF0000"/>
          <w:rtl w:val="1"/>
        </w:rPr>
        <w:t xml:space="preserve">فكان أبو هُرَيرةَ، رضي الله عنه، يَقْنُتُ في الرَّكعةِ الآخرةِ </w:t>
      </w:r>
      <w:r>
        <w:rPr>
          <w:color w:val="FF0000"/>
          <w:rtl w:val="1"/>
        </w:rPr>
        <w:t xml:space="preserve">من صلاةِ الظُّهرِ، وصلاةِ العِشاءِ، وصلاةِ الصُّبحِ، </w:t>
      </w:r>
      <w:r>
        <w:rPr>
          <w:color w:val="FF0000"/>
          <w:rtl w:val="1"/>
        </w:rPr>
        <w:t xml:space="preserve">بعدَما يقولُ: «سَمِعَ اللهُ لمن حَمِدَه»، </w:t>
      </w:r>
      <w:r>
        <w:rPr>
          <w:color w:val="FF0000"/>
          <w:rtl w:val="1"/>
        </w:rPr>
        <w:t xml:space="preserve">فيَدْعُو للمُؤْمنينَ ويَلْعنُ الكُفّارَ. 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p>
      <w:pPr>
        <w:bidi w:val="1"/>
        <w:jc w:val="start"/>
      </w:pPr>
      <w:r>
        <w:rPr>
          <w:rtl w:val="1"/>
        </w:rPr>
        <w:t>الشرح: الدلالة: أدعية القنوت - القنوت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قنوته ﷺ في الصلاة - أدعية الصلاة</w:t>
      </w:r>
    </w:p>
    <w:p>
      <w:pPr>
        <w:bidi w:val="1"/>
        <w:jc w:val="start"/>
      </w:pPr>
      <w:r>
        <w:rPr>
          <w:rtl w:val="1"/>
        </w:rPr>
        <w:t>الشرح: الدلالة: القنوت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