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عيش النبيّ صلى الله عليه وسلم-كتاب الرقاق-صحيح البخاري — رقم الحديث: 6452 — الرقم الفرعي: 99 — الرقم الأصلي: 6452</w:t>
        <w:br/>
      </w:r>
      <w:r>
        <w:rPr>
          <w:rtl w:val="1"/>
        </w:rPr>
        <w:t xml:space="preserve"> حدثني أبو نعيم ملاحظة بنحو من نصف هذا الحديث حدثنا عمر بن ذر حدثنا مجاهد أنّ أبا هريرة</w:t>
        <w:br/>
      </w:r>
      <w:r>
        <w:rPr>
          <w:color w:val="FF0000"/>
          <w:rtl w:val="1"/>
        </w:rPr>
        <w:t xml:space="preserve">كان يقولُ: آللهُ الَّذي لا إلهَ إلا هو، إنْ كنتُ لأعتَمِدُ بكَبِدي على الأرضِ منَ الجُوعِ، وإنْ كنتُ لأشُدُّ الحَجَرَ على بَطْني منَ الجُوعِ،  </w:t>
      </w:r>
      <w:r>
        <w:rPr>
          <w:color w:val="000000"/>
          <w:rtl w:val="1"/>
        </w:rPr>
        <w:t xml:space="preserve">ولقد قَعَدْتُ يومًا على طريقِهمِ الَّذي يَخرُجونَ منه، فمَرَّ أبو بكرٍ فسألتُه عن آيةٍ من كِتاب الله، ما سألتُه إلَّا لِيُشْبِعَني، فمَرَّ ولم يَفْعَلْ،  </w:t>
      </w:r>
      <w:r>
        <w:rPr>
          <w:color w:val="000000"/>
          <w:rtl w:val="1"/>
        </w:rPr>
        <w:t xml:space="preserve">ثمَّ مَرَّ بي عمرُ فسألتُه عن آيةٍ من كِتاب الله، ما سألتُه إلَّا لِيُشْبِعَني، فمَرَّ فلم يَفْعَلْ،  </w:t>
      </w:r>
      <w:r>
        <w:rPr>
          <w:color w:val="FF0000"/>
          <w:rtl w:val="1"/>
        </w:rPr>
        <w:t xml:space="preserve">ثمَّ مَرَّ بي أبو القاسمِ ﷺ فتَبسَّمَ حينَ رآني، وعَرَفَ ما في نَفْسي وما في وجهي،  </w:t>
      </w:r>
      <w:r>
        <w:rPr>
          <w:color w:val="FF0000"/>
          <w:rtl w:val="1"/>
        </w:rPr>
        <w:t xml:space="preserve">ثمَّ قال: «أبا هِرٍّ» قلتُ: لَبَّيكَ يا رسولَ الله، قال: «الحقْ»  </w:t>
      </w:r>
      <w:r>
        <w:rPr>
          <w:color w:val="FF0000"/>
          <w:rtl w:val="1"/>
        </w:rPr>
        <w:t xml:space="preserve">ومَضَى فتَبِعْتُه فدَخَلَ، فاستأْذَنَ فأُذِنَ لي، فدَخَلَ  </w:t>
      </w:r>
      <w:r>
        <w:rPr>
          <w:color w:val="FF0000"/>
          <w:rtl w:val="1"/>
        </w:rPr>
        <w:t xml:space="preserve">فوَجَدَ لَبَنًا في قَدَحٍ، فقال: «مِنْ أينَ هذا اللَّبَنُ؟» قالوا: أهداه لكَ فلانٌ ــ أو فلانةُ ــ  </w:t>
      </w:r>
      <w:r>
        <w:rPr>
          <w:color w:val="FF0000"/>
          <w:rtl w:val="1"/>
        </w:rPr>
        <w:t xml:space="preserve">قال: «أبا هِرٍّ» قلتُ: لَبَّيكَ يا رسولَ الله، قال: «الحقْ إلى أهلِ الصُّفّةِ فادْعُهم لي»  </w:t>
      </w:r>
      <w:r>
        <w:rPr>
          <w:color w:val="FF0000"/>
          <w:rtl w:val="1"/>
        </w:rPr>
        <w:t xml:space="preserve">قال: وأهلُ الصُّفّةِ أضْيافُ الإسلامِ، لا يَأْوونَ إلى أهلٍ ولا مالٍ ولا على أحدٍ،  </w:t>
      </w:r>
      <w:r>
        <w:rPr>
          <w:color w:val="FF0000"/>
          <w:rtl w:val="1"/>
        </w:rPr>
        <w:t xml:space="preserve">إذا أتَتْه صَدَقةٌ بَعَثَ بها إليهم، ولم يَتَناوَلْ منها شيئًا،  </w:t>
      </w:r>
      <w:r>
        <w:rPr>
          <w:color w:val="FF0000"/>
          <w:rtl w:val="1"/>
        </w:rPr>
        <w:t xml:space="preserve">وإذا أتَتْه هَدِيَّةٌ أرسَلَ إليهم وأصابَ منها، وأشرَكَهم فيها،  </w:t>
      </w:r>
      <w:r>
        <w:rPr>
          <w:color w:val="FF0000"/>
          <w:rtl w:val="1"/>
        </w:rPr>
        <w:t xml:space="preserve">فساءَني ذلكَ، فقلتُ: وما هذا اللَّبَنُ في أهلِ الصُّفّةِ، كنتُ أحَقُّ أنا أنْ أُصِيبَ من هذا اللَّبَنِ شَرْبةً أتَقَوَّى بها،  </w:t>
      </w:r>
      <w:r>
        <w:rPr>
          <w:color w:val="FF0000"/>
          <w:rtl w:val="1"/>
        </w:rPr>
        <w:t xml:space="preserve">فإذا جاءَ أمَرَني، فكنتُ أنا أُعْطِيهم، وما عسى أنْ يَبلُغَني من هذا اللَّبَنِ،  </w:t>
      </w:r>
      <w:r>
        <w:rPr>
          <w:color w:val="FF0000"/>
          <w:rtl w:val="1"/>
        </w:rPr>
        <w:t xml:space="preserve">ولم يَكُنْ من طاعةِ الله وطاعةِ رسولِه ﷺ بُدٌّ،  </w:t>
      </w:r>
      <w:r>
        <w:rPr>
          <w:color w:val="FF0000"/>
          <w:rtl w:val="1"/>
        </w:rPr>
        <w:t xml:space="preserve">فأتيتُهم فدَعَوْتُهم فأقبَلُوا، فاستأْذنُوا فأَذِنَ لهم، وأخَذُوا مَجالسَهُم منَ البيتِ،  </w:t>
      </w:r>
      <w:r>
        <w:rPr>
          <w:color w:val="FF0000"/>
          <w:rtl w:val="1"/>
        </w:rPr>
        <w:t xml:space="preserve">قال: «يا أبا هُرَيرةَ» قلتُ: لبَّيكَ يا رسولُ الله، قال: «خُذْ فأعطِهم»  </w:t>
      </w:r>
      <w:r>
        <w:rPr>
          <w:color w:val="FF0000"/>
          <w:rtl w:val="1"/>
        </w:rPr>
        <w:t xml:space="preserve">قال: فأخَذْتُ القَدَحَ فجَعَلْتُ أُعطِيه الرَّجلَ فيَشرَب حَتَى يَرْوَى، ثمَّ يَرُدُّ عليَّ القَدَحَ، فأُعطِيه الرَّجلَ فيَشرَبُ حَتَى يَرْوَى، ثمَّ يَرُدُّ عليَّ القَدَحَ فيَشرَبُ حتَّى يَرْوَى، ثمَّ يَرُدُّ عَليَّ القَدَحَ،  </w:t>
      </w:r>
      <w:r>
        <w:rPr>
          <w:color w:val="FF0000"/>
          <w:rtl w:val="1"/>
        </w:rPr>
        <w:t xml:space="preserve">حتَّى انتَهَيتُ إلى النبيِّ ﷺ وقد رَوِيَ القومُ كلُّهُم، فأخَذَ القَدَحَ فوَضَعَه على يدِه، فَنَظَرَ إليَّ فتبَسَّمَ،  </w:t>
      </w:r>
      <w:r>
        <w:rPr>
          <w:color w:val="FF0000"/>
          <w:rtl w:val="1"/>
        </w:rPr>
        <w:t xml:space="preserve">فقال: «أبا هِرٍّ» قلت: لَبَّيكَ يا رسولَ الله، قال: «بَقِيتُ أنا وأنتَ» قلتُ: صَدَقْتَ يا رسولَ الله،  </w:t>
      </w:r>
      <w:r>
        <w:rPr>
          <w:color w:val="FF0000"/>
          <w:rtl w:val="1"/>
        </w:rPr>
        <w:t xml:space="preserve">قال: «اقعُدْ فاشرَبْ» فقَعَدْتُ فشَرِبْتُ، فقال: «اشربْ» فشَرِبْتُ فما زالَ يقولُ: «اشرَبْ» حتَّى قلتُ: لا والذي بَعَثَكَ بالحقّ! ِ ما أجِدُ له مَسْلَكًا،  </w:t>
      </w:r>
      <w:r>
        <w:rPr>
          <w:color w:val="FF0000"/>
          <w:rtl w:val="1"/>
        </w:rPr>
        <w:t xml:space="preserve">قال: «فأرِني» فأعطَيتُه القَدَحَ، فحَمِدَ اللهَ وسَمَّى وشَرِبَ الفَضْلةَ. </w:t>
      </w:r>
    </w:p>
    <w:p>
      <w:pPr>
        <w:bidi w:val="1"/>
        <w:jc w:val="start"/>
      </w:pPr>
      <w:r>
        <w:rPr>
          <w:rtl w:val="1"/>
        </w:rPr>
        <w:t>الشرح: الدلالة: قيمة الإيثار بالطعام والشراب - قيم الإيثار</w:t>
      </w:r>
    </w:p>
    <w:p>
      <w:pPr>
        <w:bidi w:val="1"/>
        <w:jc w:val="start"/>
      </w:pPr>
      <w:r>
        <w:rPr>
          <w:rtl w:val="1"/>
        </w:rPr>
        <w:t>الشرح: الدلالة: جوده ﷺ في إطعام الفقراء والمساكين - جود النبي ﷺ وكرمه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