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الحرام-كتاب الطلاق-سنن ابن ماجة — رقم الحديث: 2077 — الرقم الفرعي: 99 — الرقم الأصلي: 2077</w:t>
        <w:br/>
      </w:r>
      <w:r>
        <w:rPr>
          <w:rtl w:val="1"/>
        </w:rPr>
        <w:t xml:space="preserve"> حدثنا عليّ بن محمد ثنا وكيع عن سفيان عن منصور عن إبراهيم عن الأسود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أُمِرَتْ بَريرَةُ أن تعتدَّ بثلاثِ حِيَضٍ.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مشروعيتها - العدة</w:t>
      </w:r>
    </w:p>
    <w:p>
      <w:pPr>
        <w:bidi w:val="1"/>
        <w:jc w:val="start"/>
      </w:pPr>
      <w:r>
        <w:rPr>
          <w:rtl w:val="1"/>
        </w:rPr>
        <w:t>الشرح: الدلالة: عدة ذوات الحيض - حساب العدة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