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4294 — الرقم الفرعي: 99 — الرقم الأصلي: 4294</w:t>
        <w:br/>
      </w:r>
      <w:r>
        <w:rPr>
          <w:rtl w:val="1"/>
        </w:rPr>
        <w:t xml:space="preserve"> حدثنا أبو النعمان حدثنا أبو عَوانة عن أبي بشر عن سعيد بن جبير عن ابن عباس،رضي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عمرُ يُدخِلُني مع أشياخِ بَدْرٍ،  </w:t>
      </w:r>
      <w:r>
        <w:rPr>
          <w:color w:val="FF0000"/>
          <w:rtl w:val="1"/>
        </w:rPr>
        <w:t xml:space="preserve">فقال بعضُهُم: لِمَ تُدْخِلُ هذا الفَتَى مَعَنا ولنا أبناءٌ مِثلُه؟  </w:t>
      </w:r>
      <w:r>
        <w:rPr>
          <w:color w:val="FF0000"/>
          <w:rtl w:val="1"/>
        </w:rPr>
        <w:t xml:space="preserve">فقال: إنَّه ممَّن قد عَلِمْتُم،  </w:t>
      </w:r>
      <w:r>
        <w:rPr>
          <w:color w:val="000000"/>
          <w:rtl w:val="1"/>
        </w:rPr>
        <w:t xml:space="preserve">قال: فدَعاهم ذاتَ يومٍ ودَعاني معهُم، قال: وما رُئِيتُه دَعاني يومَئذٍ إلَّا لِيُرِيَهم منّي،  </w:t>
      </w:r>
      <w:r>
        <w:rPr>
          <w:color w:val="FF0000"/>
          <w:rtl w:val="1"/>
        </w:rPr>
        <w:t xml:space="preserve">فقال: ما تقولونَ في إِذَا جَاءَ نَصْرُ اللَّهِ وَالْفَتْحُ (1) وَرَأَيْتَ النَّاسَ يَدْخُلُونَ فِي دِينِ اللَّهِ أَفْوَاجًا}؟ حتَّى خَتَمَ السُّورةَ،  </w:t>
      </w:r>
      <w:r>
        <w:rPr>
          <w:color w:val="000000"/>
          <w:rtl w:val="1"/>
        </w:rPr>
        <w:t xml:space="preserve">فقال بعضُهُم: أُمِرْنا أنْ نَحْمَدَ اللهَ ونَسْتَغفِرَه إذا نُصِرْنا وفُتِحَ علينا.  </w:t>
      </w:r>
      <w:r>
        <w:rPr>
          <w:color w:val="000000"/>
          <w:rtl w:val="1"/>
        </w:rPr>
        <w:t xml:space="preserve">وقال بعضُهُم: لا نَدْري. أو لم يَقُلْ بعضُهم شيئًا،  </w:t>
      </w:r>
      <w:r>
        <w:rPr>
          <w:color w:val="FF0000"/>
          <w:rtl w:val="1"/>
        </w:rPr>
        <w:t xml:space="preserve">فقال لي: يا ابن عبَّاسٍ، أكَذاكَ تقولُ؟ قلتُ: لا، قال: فما تقولُ؟  </w:t>
      </w:r>
      <w:r>
        <w:rPr>
          <w:color w:val="FF0000"/>
          <w:rtl w:val="1"/>
        </w:rPr>
        <w:t xml:space="preserve">قلتُ: هو أجَلُ رسولِ الله ﷺ أعلَمَه الله له {إِذَا جَاءَ نَصْرُ اللَّهِ وَالْفَتْحُ} فتْحُ مكَّةَ، فذاكَ عَلامةُ أجَلِكَ {فَسَبِّحْ بِحَمْدِ رَبِّكَ وَاسْتَغْفِرْهُ إِنَّهُ كَانَ تَوَّابًا} [النصر: ٣]،  </w:t>
      </w:r>
      <w:r>
        <w:rPr>
          <w:color w:val="FF0000"/>
          <w:rtl w:val="1"/>
        </w:rPr>
        <w:t xml:space="preserve">قال عمرُ: ما أعلَمُ منها إلَّا ما تَعْلَمُ. </w:t>
      </w:r>
    </w:p>
    <w:p>
      <w:pPr>
        <w:bidi w:val="1"/>
        <w:jc w:val="start"/>
      </w:pPr>
      <w:r>
        <w:rPr>
          <w:rtl w:val="1"/>
        </w:rPr>
        <w:t>الشرح: الدلالة: قيمة تكريم الصغير واحترام رأيه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إرهاصات وفاته صلى الله عليه وسلم قبل مرضه في آخر حياته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