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 — الرقم الفرعي: 99 — الرقم الأصلي: 2 — ج: 1 — ص: 2</w:t>
        <w:br/>
      </w:r>
      <w:r>
        <w:rPr>
          <w:rtl w:val="1"/>
        </w:rPr>
        <w:t xml:space="preserve"> حدثنا وَكيعٌ قال:حدثنا مِسْعَرٌ و سفيانُ عن عثمانَ بنِ المغيرةِ الثقفيّ عن عليّ بنِ ربيعةَ الوالِبيّ عن أسماءِ بنِ الحَكَم الفَزاريّ عن عليٍّ</w:t>
        <w:br/>
      </w:r>
      <w:r>
        <w:rPr>
          <w:color w:val="000000"/>
          <w:rtl w:val="1"/>
        </w:rPr>
        <w:t xml:space="preserve">قَالَ: كُنْتُ إِذَا سَمِعْتُ مِنْ رَسُولِ اللهِ صَلَّى الله عَلَيْهِ وَسَلَّمَ حَدِيثًا نَفَعَنِي اللهُ بِمَا شَاءَ مِنْهُ، وَإِذَا حَدَّثَنِي عَنْهُ غَيْرِي اسْتَحلَفتُهُ، فَإِذَا حَلَفَ لِي صَدَّقْتُهُ،  </w:t>
      </w:r>
      <w:r>
        <w:rPr>
          <w:color w:val="000000"/>
          <w:rtl w:val="1"/>
        </w:rPr>
        <w:t xml:space="preserve">وَإِنَّ أَبا بَكْرٍ رَضِيَ الله عَنْهُ حَدَّثَنِي -وَصَدَقَ أَبُو بَكْرٍ- أَنّهُ سَمِعَ النَّبِيَّ صَلَّى الله عَلَيْه وَسَلَّمَ قَالَ:  </w:t>
      </w:r>
      <w:r>
        <w:rPr>
          <w:color w:val="000000"/>
          <w:rtl w:val="1"/>
        </w:rPr>
        <w:t xml:space="preserve">«مَا مِنْ رَجُلٍ يُذْنِبُ ذَنْبًا فَيتَوضَّأُ فَيُحْسِنُ الْوُضُوءَ -قَالَ مِسْعَرٌ:- وَيُصَلِّي، -وَقَالَ سُفْيَانُ:- ثُمَّ يُصَلِّي رَكْعَتَيْنِ، فَيَسْتَغْفِرُ اللهَ عَزَّ وَجَلَّ إِلَّا غُفِرَ لَهُ».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