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نوم الجنب-كتاب الوضوء-صحيح البخاري — رقم الحديث: 287 — الرقم الفرعي: 99 — الرقم الأصلي: 287</w:t>
        <w:br/>
      </w:r>
      <w:r>
        <w:rPr>
          <w:rtl w:val="1"/>
        </w:rPr>
        <w:t xml:space="preserve"> حدثنا قتيبة قال:حدثنا الليث عن نافع عن ابن عمر أنّ عمر بن الخطاب</w:t>
        <w:br/>
      </w:r>
      <w:r>
        <w:rPr>
          <w:color w:val="FF0000"/>
          <w:rtl w:val="1"/>
        </w:rPr>
        <w:t xml:space="preserve">أنَّ عمرَ بنَ الخطَّاب سألَ رسولَ الله ﷺ: أيرْقُدُ أحدُنا وهو جُنُبٌ؟  </w:t>
      </w:r>
      <w:r>
        <w:rPr>
          <w:color w:val="FF0000"/>
          <w:rtl w:val="1"/>
        </w:rPr>
        <w:t xml:space="preserve">قال: «نَعَم، إذا تَوضَّأَ أحدُكم فلْيَرْقُدْ وهو جُنُبٌ». </w:t>
      </w:r>
    </w:p>
    <w:p>
      <w:pPr>
        <w:bidi w:val="1"/>
        <w:jc w:val="start"/>
      </w:pPr>
      <w:r>
        <w:rPr>
          <w:rtl w:val="1"/>
        </w:rPr>
        <w:t>الشرح: الدلالة: النوم قبل الاغتسال - ما يباح للجنب</w:t>
      </w:r>
    </w:p>
    <w:p>
      <w:pPr>
        <w:bidi w:val="1"/>
        <w:jc w:val="start"/>
      </w:pPr>
      <w:r>
        <w:rPr>
          <w:rtl w:val="1"/>
        </w:rPr>
        <w:t>الشرح: الدلالة: تأخير غسل الجنابة - ما لا يبطل الصيام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الوضوء والغسل (انظر الطهارة) - الحث على النظافة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الوضوء - ما يستحب للجنب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