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هجرة النبيّ صلى الله عليه وسلم،وأصحابه إلى المدينة-كتاب المناقب-صحيح البخاري — رقم الحديث: 3902 — الرقم الفرعي: 99 — الرقم الأصلي: 3902</w:t>
        <w:br/>
      </w:r>
      <w:r>
        <w:rPr>
          <w:rtl w:val="1"/>
        </w:rPr>
        <w:t xml:space="preserve"> حدثنا مطر بن الفضل حدثنا روْح حدثنا هشام حدثنا عِكرمة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بُعِثَ رسولُ الله ﷺ لأربعينَ سنةً،  </w:t>
      </w:r>
      <w:r>
        <w:rPr>
          <w:color w:val="FF0000"/>
          <w:rtl w:val="1"/>
        </w:rPr>
        <w:t xml:space="preserve">فمَكَثَ بمكَّةَ ثلاثَ عَشْرةَ سنةً يُوحَى إليه،  </w:t>
      </w:r>
      <w:r>
        <w:rPr>
          <w:color w:val="FF0000"/>
          <w:rtl w:val="1"/>
        </w:rPr>
        <w:t xml:space="preserve">ثمَّ أُمِرَ بالهِجْرةِ،  </w:t>
      </w:r>
      <w:r>
        <w:rPr>
          <w:color w:val="000000"/>
          <w:rtl w:val="1"/>
        </w:rPr>
        <w:t xml:space="preserve">فهاجَرَ عَشْرَ سنينَ،  </w:t>
      </w:r>
      <w:r>
        <w:rPr>
          <w:color w:val="FF0000"/>
          <w:rtl w:val="1"/>
        </w:rPr>
        <w:t xml:space="preserve">وماتَ وهو ابنُ ثلاثٍ وستِّينَ. </w:t>
      </w:r>
    </w:p>
    <w:p>
      <w:pPr>
        <w:bidi w:val="1"/>
        <w:jc w:val="start"/>
      </w:pPr>
      <w:r>
        <w:rPr>
          <w:rtl w:val="1"/>
        </w:rPr>
        <w:t>الشرح: الدلالة: مرض النبي صلى الله عليه وسلم ووفاته - أحداث السنة الحادية عشرة</w:t>
      </w:r>
    </w:p>
    <w:p>
      <w:pPr>
        <w:bidi w:val="1"/>
        <w:jc w:val="start"/>
      </w:pPr>
      <w:r>
        <w:rPr>
          <w:rtl w:val="1"/>
        </w:rPr>
        <w:t>الشرح: الدلالة: بعثة الرسول صلى الله عليه وسلم وبدء الوحي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الوحي - طرق المعرفة</w:t>
      </w:r>
    </w:p>
    <w:p>
      <w:pPr>
        <w:bidi w:val="1"/>
        <w:jc w:val="start"/>
      </w:pPr>
      <w:r>
        <w:rPr>
          <w:rtl w:val="1"/>
        </w:rPr>
        <w:t>الشرح: الدلالة: مكث النبي صلى الله عليه وسلم في مكة قبل الهجرة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الأمر بالهجرة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