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التطوّع في السفر-أبواب الصلاة-سنن الترمذي — رقم الحديث: 552 — الرقم الفرعي: 99 — الرقم الأصلي: 552</w:t>
        <w:br/>
      </w:r>
      <w:r>
        <w:rPr>
          <w:rtl w:val="1"/>
        </w:rPr>
        <w:t xml:space="preserve"> حدثنا محمد بن عبيد المُحاربيّ ملاحظة يعني الكوفيّ حدثنا عليّ بن هاشم عن ابن أبي ليلى عن عطيّة و نافع عن ابن عمر</w:t>
        <w:br/>
      </w:r>
      <w:r>
        <w:rPr>
          <w:color w:val="000000"/>
          <w:rtl w:val="1"/>
        </w:rPr>
        <w:t xml:space="preserve">قال: صَلَّيتُ مع النّبيِّ ﷺ في الحَضَرِ والسَّفَر،  </w:t>
      </w:r>
      <w:r>
        <w:rPr>
          <w:color w:val="000000"/>
          <w:rtl w:val="1"/>
        </w:rPr>
        <w:t xml:space="preserve">فصَلَّيتُ معه في الحَضَر الظُّهرَ أَربعًا،  </w:t>
      </w:r>
      <w:r>
        <w:rPr>
          <w:color w:val="000000"/>
          <w:rtl w:val="1"/>
        </w:rPr>
        <w:t xml:space="preserve">وبعدَها رَكعَتَين،  </w:t>
      </w:r>
      <w:r>
        <w:rPr>
          <w:color w:val="000000"/>
          <w:rtl w:val="1"/>
        </w:rPr>
        <w:t xml:space="preserve">وصَلَّيتُ معه في السَّفَر الظُّهرَ ركعَتَين،  </w:t>
      </w:r>
      <w:r>
        <w:rPr>
          <w:color w:val="000000"/>
          <w:rtl w:val="1"/>
        </w:rPr>
        <w:t xml:space="preserve">وبعدَها رَكعَتَين،  </w:t>
      </w:r>
      <w:r>
        <w:rPr>
          <w:color w:val="000000"/>
          <w:rtl w:val="1"/>
        </w:rPr>
        <w:t xml:space="preserve">والعَصْرَ رَكعَتَين، ولم يُصلِّ بعدَها شيئًا،  </w:t>
      </w:r>
      <w:r>
        <w:rPr>
          <w:color w:val="000000"/>
          <w:rtl w:val="1"/>
        </w:rPr>
        <w:t xml:space="preserve">والمَغرِبَ في الحَضَرِ والسَّفَر سواء، ثلاثَ رَكَعات، لا يَنْقُص في حَضَرٍ ولا سَفَر، وهي وِتْر النّهار،  </w:t>
      </w:r>
      <w:r>
        <w:rPr>
          <w:color w:val="000000"/>
          <w:rtl w:val="1"/>
        </w:rPr>
        <w:t xml:space="preserve">وبعدها ركعتين. </w:t>
      </w:r>
      <w:r>
        <w:rPr>
          <w:color w:val="000000"/>
          <w:rtl w:val="1"/>
        </w:rPr>
        <w:t xml:space="preserve">هذا حديثٌ حسَن. </w:t>
      </w:r>
      <w:r>
        <w:rPr>
          <w:color w:val="000000"/>
          <w:rtl w:val="1"/>
        </w:rPr>
        <w:t xml:space="preserve">سمِعتُ محمّدًا يقول: ما رَوَى ابنُ أَبي ليلَى حديثًا أَعجَبَ إليَّ مِن هذا.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