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يقضي الفائت من الصلاة-كتاب المواقيت-سنن النسائي — رقم الحديث: 624 — الرقم الفرعي: 99 — الرقم الأصلي: 624</w:t>
        <w:br/>
      </w:r>
      <w:r>
        <w:rPr>
          <w:rtl w:val="1"/>
        </w:rPr>
        <w:t xml:space="preserve"> أخبرنا أبو عاصم خَشيش بن أصرم قال:حدثنا يحيى بن حسّان قال:حدثنا حمّاد بن سلمة عن عمرو بن دينار عن نافع بن جبير عن أبيه أنّ رسول الله صلى الله عليه وسلم</w:t>
        <w:br/>
      </w:r>
      <w:r>
        <w:rPr>
          <w:color w:val="FF0000"/>
          <w:rtl w:val="1"/>
        </w:rPr>
        <w:t xml:space="preserve">قالَ في سَفَرٍ له: «مَن يَكلَؤنا اللَّيلةَ لا نَرقُدَ عن صَلاةِ الصُّبح؟»، </w:t>
      </w:r>
      <w:r>
        <w:rPr>
          <w:color w:val="FF0000"/>
          <w:rtl w:val="1"/>
        </w:rPr>
        <w:t xml:space="preserve">قالَ بلالٌ: أنا، فاستَقبلَ مَطلِعَ الشَّمس، فضُرِبَ على آذانِهم، حتَّى أَيقَظَهم حرُّ الشَّمس، </w:t>
      </w:r>
      <w:r>
        <w:rPr>
          <w:color w:val="FF0000"/>
          <w:rtl w:val="1"/>
        </w:rPr>
        <w:t xml:space="preserve">فقامُوا، فقال: «توضّؤوا»، ثم أذَّنَ بلالٌ، فصَلَّى رَكعتَين، وصلَّوا رَكعَتي الفَجرِ، </w:t>
      </w:r>
      <w:r>
        <w:rPr>
          <w:color w:val="FF0000"/>
          <w:rtl w:val="1"/>
        </w:rPr>
        <w:t xml:space="preserve">ثم صلَّوا الفَجرَ.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فضل الحراسة والسهر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الأذان للصلوات الفائتة - أسباب الأذان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تعظيم قدر الصلاة - مشروعية الصلاة وتعظيم قدرها</w:t>
      </w:r>
    </w:p>
    <w:p>
      <w:pPr>
        <w:bidi w:val="1"/>
        <w:jc w:val="start"/>
      </w:pPr>
      <w:r>
        <w:rPr>
          <w:rtl w:val="1"/>
        </w:rPr>
        <w:t>الشرح: الدلالة: صلاة سنة الفجر في السفر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