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المصالحة على ثلاثة أيام-كتاب الجزية-صحيح البخاري — رقم الحديث: 3184 — الرقم الفرعي: 99 — الرقم الأصلي: 3184</w:t>
        <w:br/>
      </w:r>
      <w:r>
        <w:rPr>
          <w:rtl w:val="1"/>
        </w:rPr>
        <w:t xml:space="preserve"> حدثنا أحمد بن عثمان بن حكيم حدثنا شريح بن مسلمة حدثنا إبراهيم بن يوسف بن أبي إسحاق قال:حدثني أبي عن أبي إسحاق قال:حدثني البراء رضي الله عنه</w:t>
        <w:br/>
      </w:r>
      <w:r>
        <w:rPr>
          <w:color w:val="FF0000"/>
          <w:rtl w:val="1"/>
        </w:rPr>
        <w:t xml:space="preserve">أنَّ النبيَّ ﷺ لمّا أرادَ أنْ يَعْتَمِرَ أرسَلَ إلى أهلِ مكَّةَ يَستأْذِنُهم ليَدخُلَ مكَّة،  </w:t>
      </w:r>
      <w:r>
        <w:rPr>
          <w:color w:val="FF0000"/>
          <w:rtl w:val="1"/>
        </w:rPr>
        <w:t xml:space="preserve">فاشتَرَطُوا عليه أنْ لا يُقِيمَ بها إلَّا ثلاثَ ليالٍ، ولا يَدخُلَها إلَّا بجُلُبّانِ السِّلاح، ولا يَدْعُوَ منهم أحدًا.  </w:t>
      </w:r>
      <w:r>
        <w:rPr>
          <w:color w:val="000000"/>
          <w:rtl w:val="1"/>
        </w:rPr>
        <w:t xml:space="preserve">قال: فأخَذَ يَكتُبُ الشَّرْطَ بينهم عليُّ بنُ أبي طالبٍ،  </w:t>
      </w:r>
      <w:r>
        <w:rPr>
          <w:color w:val="000000"/>
          <w:rtl w:val="1"/>
        </w:rPr>
        <w:t xml:space="preserve">فكَتَبَ: هذا ما قاضَى عليه محمَّدٌ رسولُ الله.  </w:t>
      </w:r>
      <w:r>
        <w:rPr>
          <w:color w:val="000000"/>
          <w:rtl w:val="1"/>
        </w:rPr>
        <w:t xml:space="preserve">فقالوا: لو عَلِمْنا أنَّكَ رسولُ الله لم نَمْنَعْكَ ولَبايَعْناكَ، ولكِنِ اكتُبْ: هذا ما قاضَى عليه محمَّدُ بنُ عبدِ الله.  </w:t>
      </w:r>
      <w:r>
        <w:rPr>
          <w:color w:val="000000"/>
          <w:rtl w:val="1"/>
        </w:rPr>
        <w:t xml:space="preserve">فقال: «أنا واللَّهِ محمَّدُ بنُ عبدِ الله، وأنا واللَّهِ رسولُ الله».  </w:t>
      </w:r>
      <w:r>
        <w:rPr>
          <w:color w:val="000000"/>
          <w:rtl w:val="1"/>
        </w:rPr>
        <w:t xml:space="preserve">قال: وكان لا يَكتُبُ، قال: فقال لعليٍّ: «امحُ رسولَ الله» فقال عليٌّ: والله لا أمحاه أبدًا، قال: «فأرِنِيه» قال: فأَراهُ إيّاه، فمَحَاه النبيُّ ﷺ بيدِه. </w:t>
      </w:r>
      <w:r>
        <w:rPr>
          <w:color w:val="FF0000"/>
          <w:rtl w:val="1"/>
        </w:rPr>
        <w:t xml:space="preserve">فلمّا دَخَلَ ومَضَى الأيّامُ أتَوْا عليًّا فقالوا: مُرْ صاحبَكَ فلْيَرتَحِلْ. فذَكَرَ ذلكَ لرسولِ الله ﷺ فقال: «نَعَم». ثمَّ ارتَحَلَ. </w:t>
      </w:r>
    </w:p>
    <w:p>
      <w:pPr>
        <w:bidi w:val="1"/>
        <w:jc w:val="start"/>
      </w:pPr>
      <w:r>
        <w:rPr>
          <w:rtl w:val="1"/>
        </w:rPr>
        <w:t>الشرح: الدلالة: قيمة الوفاء بالاتفاقيات والمعاهدات الدولية - قيم الوفاء</w:t>
      </w:r>
    </w:p>
    <w:p>
      <w:pPr>
        <w:bidi w:val="1"/>
        <w:jc w:val="start"/>
      </w:pPr>
      <w:r>
        <w:rPr>
          <w:rtl w:val="1"/>
        </w:rPr>
        <w:t>الشرح: الدلالة: وفاؤه ﷺ بالعهد والميثاق مع الأعداء وغيرهم - وفاء النبي ﷺ</w:t>
      </w:r>
    </w:p>
    <w:p>
      <w:pPr>
        <w:bidi w:val="1"/>
        <w:jc w:val="start"/>
      </w:pPr>
      <w:r>
        <w:rPr>
          <w:rtl w:val="1"/>
        </w:rPr>
        <w:t>الشرح: الدلالة: عمرة القضاء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