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السواك-كتاب الطهارة وسننها-سنن ابن ماجة — رقم الحديث: 49 — الرقم الفرعي: 99 — الرقم الأصلي: 49</w:t>
        <w:br/>
      </w:r>
      <w:r>
        <w:rPr>
          <w:rtl w:val="1"/>
        </w:rPr>
        <w:t xml:space="preserve"> حدثنا داود بن سليمان العسكريّ ثنا محمد بن عليّ،أبو هاشم،بن أبي خِداش الموصليّ قال:حدثنا محمد بن مِحصَن عن إبراهيم بن أبي عبلة عن عبد الله بن الدّيلميّ عن حذيفة قال:قال رسول الله صلى الله عليه وسلم</w:t>
        <w:br/>
      </w:r>
      <w:r>
        <w:rPr>
          <w:color w:val="FF0000"/>
          <w:rtl w:val="1"/>
        </w:rPr>
        <w:t xml:space="preserve">«لا يَقبَلُ اللهُ لصاحبِ بدعةٍ صَومًا، ولا صلاةً، ولا صدَقةً،  </w:t>
      </w:r>
      <w:r>
        <w:rPr>
          <w:color w:val="FF0000"/>
          <w:rtl w:val="1"/>
        </w:rPr>
        <w:t xml:space="preserve">ولا حجًّا ولا عُمرةً، ولا جِهادًا، ولا صَرْفًا ولا عدْلًا،  </w:t>
      </w:r>
      <w:r>
        <w:rPr>
          <w:color w:val="FF0000"/>
          <w:rtl w:val="1"/>
        </w:rPr>
        <w:t xml:space="preserve">يَخرُجُ من الإسلامِ كما تَخرُجُ الشَّعرةُ مِن العَجين» </w:t>
      </w:r>
    </w:p>
    <w:p>
      <w:pPr>
        <w:bidi w:val="1"/>
        <w:jc w:val="start"/>
      </w:pPr>
      <w:r>
        <w:rPr>
          <w:rtl w:val="1"/>
        </w:rPr>
        <w:t>درجة الحديث: موضوع</w:t>
      </w:r>
    </w:p>
    <w:p>
      <w:pPr>
        <w:bidi w:val="1"/>
        <w:jc w:val="start"/>
      </w:pPr>
      <w:r>
        <w:rPr>
          <w:rtl w:val="1"/>
        </w:rPr>
        <w:t>الشرح: الدلالة: الموضوع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