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لعن الدواب وغيرها-كتاب البرّ والصلة والآداب-صحيح مسلم — رقم الحديث: 2597 — الرقم الفرعي: 1 — الرقم الأصلي: 2597</w:t>
        <w:br/>
      </w:r>
      <w:r>
        <w:rPr>
          <w:rtl w:val="1"/>
        </w:rPr>
        <w:t xml:space="preserve"> حدثنا هارون بن سعيد الأَيْلِيّ حدثنا ابن وهب أخبرني سليمان ملاحظة وهو ابن بلال عن العلاء بن عبد الرحمن حدثه عن أبيه عن أبي هريرة</w:t>
        <w:br/>
      </w:r>
      <w:r>
        <w:rPr>
          <w:color w:val="000000"/>
          <w:rtl w:val="1"/>
        </w:rPr>
        <w:t xml:space="preserve">أنَّ رسولَ الله ﷺ، قال:  </w:t>
      </w:r>
      <w:r>
        <w:rPr>
          <w:color w:val="FF0000"/>
          <w:rtl w:val="1"/>
        </w:rPr>
        <w:t xml:space="preserve">«لا يَنبَغي لِصِدِّيقٍ أن يكونَ لَعّانًا».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