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جواز النافلة قائماً وقاعداً ،وفعل بعض الركعة قائماً *-كتاب صلاة المسافرين وقصرها-صحيح مسلم — رقم الحديث: 732 — الرقم الفرعي: 1 — الرقم الأصلي: 732</w:t>
        <w:br/>
      </w:r>
      <w:r>
        <w:rPr>
          <w:rtl w:val="1"/>
        </w:rPr>
        <w:t xml:space="preserve"> وحدثنا يحيى بن يحيى أخبرنا يزيد بن زُريع عن سعيد الجُريريّ عن عبد الله بن شَقيق قال:قلت ل عائشة</w:t>
        <w:br/>
      </w:r>
      <w:r>
        <w:rPr>
          <w:color w:val="000000"/>
          <w:rtl w:val="1"/>
        </w:rPr>
        <w:t xml:space="preserve">قال: قلتُ لعائشَة:  </w:t>
      </w:r>
      <w:r>
        <w:rPr>
          <w:color w:val="FF0000"/>
          <w:rtl w:val="1"/>
        </w:rPr>
        <w:t xml:space="preserve">هل كانَ النّبيُّ ﷺ يُصلِّي وهو قاعِد؟ قالت: نَعم، بعدَما حطَمَه النَّاس.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صلاة النافلة قائما وقاعدا - كيفية صلاة القيام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