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ما يقول إذا أصبح-كتاب الأدب-سنن أبي داود — رقم الحديث: 5075 — الرقم الفرعي: 99 — الرقم الأصلي: 5075</w:t>
        <w:br/>
      </w:r>
      <w:r>
        <w:rPr>
          <w:rtl w:val="1"/>
        </w:rPr>
        <w:t xml:space="preserve"> حدثنا أحمد بن صالح ثنا عبد الله بن وهب قال:أخبرني عمرو أنّ سالماً الفراء حدثه أن عبد الحميد ملاحظة مولى بني هاشم حدثه أن أمّه ملاحظة حدثته ملاحظة وكانت تخدم بعض بنات النبيّ صلى الله عليه وسلم أنّ ابنة النبيّ صلى الله عليه وسلم</w:t>
        <w:br/>
      </w:r>
      <w:r>
        <w:rPr>
          <w:color w:val="000000"/>
          <w:rtl w:val="1"/>
        </w:rPr>
        <w:t xml:space="preserve">حدَّثتها: أن النبيَّ ﷺ كان يُعلِّمُها فيقول:  </w:t>
      </w:r>
      <w:r>
        <w:rPr>
          <w:color w:val="FF0000"/>
          <w:rtl w:val="1"/>
        </w:rPr>
        <w:t xml:space="preserve">«قولي حينَ تُصبحين: سبحان اللهِ وبِحمْدِه، لا قُوَّةَ إلا باللهِ، ما شاءَ الله كانَ، وما لم يشَأْ لم يكُن، أعلمُ أن الله على كل شيءِ قديرٌ، وأنَّ الله قد أحاطَ بكل شيءٍ علماً،  </w:t>
      </w:r>
      <w:r>
        <w:rPr>
          <w:color w:val="FF0000"/>
          <w:rtl w:val="1"/>
        </w:rPr>
        <w:t xml:space="preserve">فإنه من قالهُنَّ حِين يُصبِحُ حُفظ حتى يُمسيَ، ومن قالهُنَّ حِين يُمسي حُفِظ حتى يُصْبِحَ». </w:t>
      </w:r>
      <w:r>
        <w:rPr>
          <w:color w:val="000000"/>
          <w:rtl w:val="1"/>
        </w:rPr>
        <w:t xml:space="preserve"> </w:t>
      </w:r>
    </w:p>
    <w:p>
      <w:pPr>
        <w:bidi w:val="1"/>
        <w:jc w:val="start"/>
      </w:pPr>
      <w:r>
        <w:rPr>
          <w:rtl w:val="1"/>
        </w:rPr>
        <w:t xml:space="preserve">درجة الحديث: إسناده ضعيف  / إسناده ضعيف </w:t>
      </w:r>
    </w:p>
    <w:p>
      <w:pPr>
        <w:bidi w:val="1"/>
        <w:jc w:val="start"/>
      </w:pPr>
      <w:r>
        <w:rPr>
          <w:rtl w:val="1"/>
        </w:rPr>
        <w:t>الشرح: الدلالة: الذكر والدعاء في الصباح والمساء - الذكر والدعاء لأزمنة معينة</w:t>
      </w:r>
    </w:p>
    <w:p>
      <w:pPr>
        <w:bidi w:val="1"/>
        <w:jc w:val="start"/>
      </w:pPr>
      <w:r>
        <w:rPr>
          <w:rtl w:val="1"/>
        </w:rPr>
        <w:t>الشرح: الدلالة: التصور الإسلامي للالوهية - التصور الإسلامي</w:t>
      </w:r>
    </w:p>
    <w:p>
      <w:pPr>
        <w:bidi w:val="1"/>
        <w:jc w:val="start"/>
      </w:pPr>
      <w:r>
        <w:rPr>
          <w:rtl w:val="1"/>
        </w:rPr>
        <w:t>الشرح: الدلالة: الاستعانة والاستغاثة والاستعاذة - مظاهر توحيد الألوهية</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التربية بالتلقين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