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الصور-كتاب اللباس-سنن أبي داود — رقم الحديث: 4153 — الرقم الفرعي: 99 — الرقم الأصلي: 4153</w:t>
        <w:br/>
      </w:r>
      <w:r>
        <w:rPr>
          <w:rtl w:val="1"/>
        </w:rPr>
        <w:t xml:space="preserve"> حدثنا وهب بن بقية أخبرنا خالد عن سهيل ملاحظة يعني ابن أبي صالح عن سعيد بن يسار الأنصاريّ عن زيد بن خالد الجهنيّ عن أبي طلحة الأنصاريّ قال:سمعت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النّبيَّ ﷺ يقول:  </w:t>
      </w:r>
      <w:r>
        <w:rPr>
          <w:color w:val="000000"/>
          <w:rtl w:val="1"/>
        </w:rPr>
        <w:t xml:space="preserve">«لا تَدخُلُ الملائكةُ بيتًا فيه كَلْبٌ ولا تِمثالٌ»  </w:t>
      </w:r>
      <w:r>
        <w:rPr>
          <w:color w:val="000000"/>
          <w:rtl w:val="1"/>
        </w:rPr>
        <w:t xml:space="preserve">وقال: انطلِق بنا إلى أُمِّ المؤمنينَ عائشةَ نسألْها عن ذلك،  </w:t>
      </w:r>
      <w:r>
        <w:rPr>
          <w:color w:val="000000"/>
          <w:rtl w:val="1"/>
        </w:rPr>
        <w:t xml:space="preserve">فانطلقنا، فقُلنا: يا أُمَّ المؤمنين، إن أبا طلحة، حدَّثنا عن رسولِ الله ﷺ بكذا وكذا، فهل سَمِعْتِ النبيَّ ﷺ يذكُرُ ذلك؟ قالت: لا،  </w:t>
      </w:r>
      <w:r>
        <w:rPr>
          <w:color w:val="000000"/>
          <w:rtl w:val="1"/>
        </w:rPr>
        <w:t xml:space="preserve">ولكن سأحدِّثُكُم بما رأيتُه فعل،  </w:t>
      </w:r>
      <w:r>
        <w:rPr>
          <w:color w:val="FF0000"/>
          <w:rtl w:val="1"/>
        </w:rPr>
        <w:t xml:space="preserve">خرجَ رسولُ الله ﷺ في بعضِ مَغازِيه، وكنت أتحيَّنُ قُفولَه، فأخذتُ نَمَطًا كان لنا فسترْتُه على العَرَضِ،  </w:t>
      </w:r>
      <w:r>
        <w:rPr>
          <w:color w:val="FF0000"/>
          <w:rtl w:val="1"/>
        </w:rPr>
        <w:t xml:space="preserve">فلمّا جاءَ استقبلتُه، فقلتُ: السلامُ عليكَ يا رسولَ الله ورحمةُ اللهِ وبركاتُه، الحمْدُ لله الذي أعزَّكَ وأكْرَمَكَ،  </w:t>
      </w:r>
      <w:r>
        <w:rPr>
          <w:color w:val="FF0000"/>
          <w:rtl w:val="1"/>
        </w:rPr>
        <w:t xml:space="preserve">فنظر إلى البيتِ فرأى النَّمَطَ، فلم يَرُدَّ عليَّ شيئًا، ورأيتُ الكراهيةَ في وجهه،  </w:t>
      </w:r>
      <w:r>
        <w:rPr>
          <w:color w:val="FF0000"/>
          <w:rtl w:val="1"/>
        </w:rPr>
        <w:t xml:space="preserve">فأتى النَّمَطَ حتى هَتكَه،  </w:t>
      </w:r>
      <w:r>
        <w:rPr>
          <w:color w:val="FF0000"/>
          <w:rtl w:val="1"/>
        </w:rPr>
        <w:t xml:space="preserve">ثم قال: «إن الله عزَّ وجلَّ لم يأمُرْنَا فيما رَزَقَنا أن نَكْسُوَ الحِجَارَةَ واللَّبِنَ»  </w:t>
      </w:r>
      <w:r>
        <w:rPr>
          <w:color w:val="FF0000"/>
          <w:rtl w:val="1"/>
        </w:rPr>
        <w:t xml:space="preserve">قالت: فقطعتُه، وجعلتُه وسادتَين، وحشوتُهما ليفًا، فلم يُنكِرْ ذلك عليَّ.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السكن والمودة - مقاصد الزواج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السلام والمصافحة والمعانقة والتقبيل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الصور الموطوءة (المهانة) - الصور والتماثيل والنقوش</w:t>
      </w:r>
    </w:p>
    <w:p>
      <w:pPr>
        <w:bidi w:val="1"/>
        <w:jc w:val="start"/>
      </w:pPr>
      <w:r>
        <w:rPr>
          <w:rtl w:val="1"/>
        </w:rPr>
        <w:t>الشرح: الدلالة: الأنماط (الشراشف) - الفرش والستور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