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267 — الرقم الفرعي: 99 — الرقم الأصلي: 267</w:t>
        <w:br/>
      </w:r>
      <w:r>
        <w:rPr>
          <w:rtl w:val="1"/>
        </w:rPr>
        <w:t xml:space="preserve"> حدثنا عبد الله حدثني محمد بن عبد الملك بن أبي الشوارب حدثنا عبد الواحد بن زياد حدثنا الحسن بن عبيدالله عن إبراهيم عن علقمة عن القرثع عن قيس أو ابن قيس ملاحظة رجل من جُعفيّ عن عمر بن الخطاب</w:t>
        <w:br/>
      </w:r>
      <w:r>
        <w:rPr>
          <w:color w:val="000000"/>
          <w:rtl w:val="1"/>
        </w:rPr>
        <w:t xml:space="preserve">فَذَكَرَ نَحْوَ حَدِيثِ عَفَّانَ. </w:t>
      </w:r>
    </w:p>
    <w:p>
      <w:pPr>
        <w:bidi w:val="1"/>
        <w:jc w:val="start"/>
      </w:pPr>
      <w:r>
        <w:rPr>
          <w:rtl w:val="1"/>
        </w:rPr>
        <w:t>درجة الحديث: صحيح /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