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23800 — الرقم الفرعي: 99 — الرقم الأصلي: 23800</w:t>
        <w:br/>
      </w:r>
      <w:r>
        <w:rPr>
          <w:rtl w:val="1"/>
        </w:rPr>
        <w:t xml:space="preserve"> حدثنا عبد الرزاق أنا معمر عن ابن خثيم عن أبي الطفيل</w:t>
        <w:br/>
      </w:r>
      <w:r>
        <w:rPr>
          <w:color w:val="000000"/>
          <w:rtl w:val="1"/>
        </w:rPr>
        <w:t xml:space="preserve">وذَكرَ بناءَ الكَعبةِ في الجاهِليَّة،  </w:t>
      </w:r>
      <w:r>
        <w:rPr>
          <w:color w:val="000000"/>
          <w:rtl w:val="1"/>
        </w:rPr>
        <w:t xml:space="preserve">قال: فهَدَمَتْها قُريشٌ وجَعَلُوا يَبنُونها بحِجارةِ الوادي، تَحمِلُها قُريشٌ على رِقَابها،  </w:t>
      </w:r>
      <w:r>
        <w:rPr>
          <w:color w:val="000000"/>
          <w:rtl w:val="1"/>
        </w:rPr>
        <w:t xml:space="preserve">فرَفَعوها في السَّماءِ عِشرين ذِرَاعًا،  </w:t>
      </w:r>
      <w:r>
        <w:rPr>
          <w:color w:val="000000"/>
          <w:rtl w:val="1"/>
        </w:rPr>
        <w:t xml:space="preserve">فبَينا النّبيُّ ﷺ يَحملُ حجارةً مِن أَجياد ‌وعَلَيه ‌نَمِرَة، فضاقتْ عليه النَّمِرة، فذهبَ يَضَعُ النَّمِرةَ على عاتِقِه فتُرى عَورتُه مِن صِغَر النَّمِرة،  </w:t>
      </w:r>
      <w:r>
        <w:rPr>
          <w:color w:val="000000"/>
          <w:rtl w:val="1"/>
        </w:rPr>
        <w:t xml:space="preserve">فنُودي: يا مُحمّد، خَمِّرْ عَورتَك،  </w:t>
      </w:r>
      <w:r>
        <w:rPr>
          <w:color w:val="000000"/>
          <w:rtl w:val="1"/>
        </w:rPr>
        <w:t xml:space="preserve">فلم يُرَ عُرْيانًا بعدَ ذلك.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النمرة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