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هود-كتاب تفسير القرآن-سنن الترمذي — رقم الحديث: 3111 — الرقم الفرعي: 99 — الرقم الأصلي: 3110</w:t>
        <w:br/>
      </w:r>
      <w:r>
        <w:rPr>
          <w:rtl w:val="1"/>
        </w:rPr>
        <w:t xml:space="preserve"> حدثنا محمد بن بشار أخبرنا أبو عامر العَقَديّ ملاحظة هو عبد الملك بن عمرو قال: أخبرنا سليمان بن سفيان عن عبد الله بن دينار عن ابن عمر عن عمر بن الخطاب</w:t>
        <w:br/>
      </w:r>
      <w:r>
        <w:rPr>
          <w:color w:val="000000"/>
          <w:rtl w:val="1"/>
        </w:rPr>
        <w:t xml:space="preserve">قال: لمَّا نَزَلَتْ هذه الآيَةُ {فَمِنْهُمْ شَقِيٌّ وَسَعِيدٌ} [هود: 105]  </w:t>
      </w:r>
      <w:r>
        <w:rPr>
          <w:color w:val="FF0000"/>
          <w:rtl w:val="1"/>
        </w:rPr>
        <w:t xml:space="preserve">سألتُ رسولَ الله ﷺ فقلتُ: يا نبيَّ الله، فعَلَى ما نَعْمَلُ؟ على شيءٍ قد فُرِغَ منه، أو على شيءٍ لم يُفْرَغ منه؟  </w:t>
      </w:r>
      <w:r>
        <w:rPr>
          <w:color w:val="FF0000"/>
          <w:rtl w:val="1"/>
        </w:rPr>
        <w:t xml:space="preserve">قال: «بَلْ على شيءٍ قد فُرِغَ منه وجَرَتْ به الأقلامُ يا عمرُ، ولكنْ كُلٌّ مُيَسَّرٌ لما خُلِقَ له». </w:t>
      </w:r>
      <w:r>
        <w:rPr>
          <w:color w:val="000000"/>
          <w:rtl w:val="1"/>
        </w:rPr>
        <w:t xml:space="preserve">هذا حديثٌ حسنٌ غريبٌ من هذا الوجهِ، لا نَعرِفُه إلَّا من حديثِ عَبدِ الملك بن عمرٍو.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أدلة الإيمان بالقدر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المكتوب من أجلٍ ورزق وسعادة وشقاء - كتابة المقادير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