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قاصّ أو جازفه في الدين تمراً بتمر-كتاب الاستقراض-صحيح البخاري — رقم الحديث: 2396 — الرقم الفرعي: 99 — الرقم الأصلي: 2396</w:t>
        <w:br/>
      </w:r>
      <w:r>
        <w:rPr>
          <w:rtl w:val="1"/>
        </w:rPr>
        <w:t xml:space="preserve"> حدثنا إبراهيم بن المنذر حدثنا أنس عن هشام عن وهب بن كيسان عن جابر بن عبد الله رضي الله عنهما</w:t>
        <w:br/>
      </w:r>
      <w:r>
        <w:rPr>
          <w:color w:val="000000"/>
          <w:rtl w:val="1"/>
        </w:rPr>
        <w:t xml:space="preserve">أنَّه أخبَره:  </w:t>
      </w:r>
      <w:r>
        <w:rPr>
          <w:color w:val="FF0000"/>
          <w:rtl w:val="1"/>
        </w:rPr>
        <w:t xml:space="preserve">أنَّ أباه تُوُفِّيَ وتَرَكَ عليه ثلاثِينَ وَسْقًا لرجلٍ مِن اليهودِ،  </w:t>
      </w:r>
      <w:r>
        <w:rPr>
          <w:color w:val="FF0000"/>
          <w:rtl w:val="1"/>
        </w:rPr>
        <w:t xml:space="preserve">فاستَنظَرَه جابرٌ فأَبى أنْ يُنْظِرَه،  </w:t>
      </w:r>
      <w:r>
        <w:rPr>
          <w:color w:val="FF0000"/>
          <w:rtl w:val="1"/>
        </w:rPr>
        <w:t xml:space="preserve">فكَلَّمَ جابرٌ رسولَ الله ﷺ ليَشْفَعَ له إليه، فجاءَ رسولُ الله ﷺ وكَلَّمَ اليهوديَّ ليَأْخُذَ ثَمَرَ نَخْلِه بالَّذي له، فأَبى،  </w:t>
      </w:r>
      <w:r>
        <w:rPr>
          <w:color w:val="000000"/>
          <w:rtl w:val="1"/>
        </w:rPr>
        <w:t xml:space="preserve">فدَخَلَ رسولُ الله ﷺ النَّخْلَ، فمَشَى فيها، ثمَّ قال لجابرٍ: «جُدَّ له فأَوفِ له الَّذي له»  </w:t>
      </w:r>
      <w:r>
        <w:rPr>
          <w:color w:val="000000"/>
          <w:rtl w:val="1"/>
        </w:rPr>
        <w:t xml:space="preserve">فجَدَّه بعدَما رَجَعَ رسولُ الله ﷺ، فأَوفاه ثلاثِينَ وَسْقًا، وفَضَلَتْ له سبعةَ عَشَرَ وَسْقًا،  </w:t>
      </w:r>
      <w:r>
        <w:rPr>
          <w:color w:val="000000"/>
          <w:rtl w:val="1"/>
        </w:rPr>
        <w:t xml:space="preserve">فجاءَ جابرٌ رسولَ الله ﷺ ليُخبِرَه بالَّذي كانَ، فوَجَدَه يُصلِّي العَصْرَ، فلمّا انصَرَفَ أخبَره بالفَضْل،  </w:t>
      </w:r>
      <w:r>
        <w:rPr>
          <w:color w:val="000000"/>
          <w:rtl w:val="1"/>
        </w:rPr>
        <w:t xml:space="preserve">فقال: «أخبِرْ ذلكَ ابنَ الخطَّابِ» فذهبَ جابرٌ إلى عمرَ، فأخبَره،  </w:t>
      </w:r>
      <w:r>
        <w:rPr>
          <w:color w:val="000000"/>
          <w:rtl w:val="1"/>
        </w:rPr>
        <w:t xml:space="preserve">فقال له عمرُ: لقد عَلِمْتُ حينَ مَشَى فيها رسولُ الله ﷺ لَيُبارَكَنَّ فيها. </w:t>
      </w:r>
    </w:p>
    <w:p>
      <w:pPr>
        <w:bidi w:val="1"/>
        <w:jc w:val="start"/>
      </w:pPr>
      <w:r>
        <w:rPr>
          <w:rtl w:val="1"/>
        </w:rPr>
        <w:t>الشرح: الدلالة: أهل الذمة - شروط المواطنة في الدولة الإسلامية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