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2678 — الرقم الفرعي: 99 — الرقم الأصلي: 2678 — ج: 1 — ص: 293</w:t>
        <w:br/>
      </w:r>
      <w:r>
        <w:rPr>
          <w:rtl w:val="1"/>
        </w:rPr>
        <w:t xml:space="preserve"> حدثنا سُرَيج حدثنا هُشَيم أخبرنا خالد الحَذّاء عن بَرَكَة بن العُرْيان المُجاشِعيّ قال:سمعت ابن عباس يحدث قال:قال رسول الله صلى الله عليه وسلم</w:t>
        <w:br/>
      </w:r>
      <w:r>
        <w:rPr>
          <w:color w:val="000000"/>
          <w:rtl w:val="1"/>
        </w:rPr>
        <w:t xml:space="preserve">«لَعَنَ اللهُ الْيَهُودَ، حُرِّمَتْ عَلَيْهِمِ الشُّحُومُ، فَبَاعُوهَا وَأَكلُوا أَثْمَانَهَا، وَإِنَّ اللهَ عَزَّ وَجلَّ إِذَا حَرَّمَ أَكلَ شَيْءٍ، حَرَّمَ ثَمنَهُ»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