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النزول بذي طُوىً قبل أن يدخل مكّة-كتاب الحجّ-صحيح البخاري — رقم الحديث: 1767 — الرقم الفرعي: 99 — الرقم الأصلي: 1767</w:t>
        <w:br/>
      </w:r>
      <w:r>
        <w:rPr>
          <w:rtl w:val="1"/>
        </w:rPr>
        <w:t xml:space="preserve"> حدثنا ابراهيم بن المنذر حدثنا أبو ضمرة حدثنا موسى بن عقبة عن نافع أنّ ابن عمر رضي الله عنهما</w:t>
        <w:br/>
      </w:r>
      <w:r>
        <w:rPr>
          <w:color w:val="FF0000"/>
          <w:rtl w:val="1"/>
        </w:rPr>
        <w:t xml:space="preserve">كان يَبِيتُ بذي طُوًى بينَ الثَّنِيَّتَينِ، ثمَّ يَدخُلُ مِن الثَّنِيَّةِ الَّتي بأعلى مكَّةَ. </w:t>
      </w:r>
      <w:r>
        <w:rPr>
          <w:color w:val="FF0000"/>
          <w:rtl w:val="1"/>
        </w:rPr>
        <w:t xml:space="preserve">وكان إذا قَدِمَ مكَّةَ حاجّاً أو مُعتَمِراً لم يُنِخْ ناقتَه إلَّا عندَ بابِ المسجدِ، ثمَّ يَدخُلُ </w:t>
      </w:r>
      <w:r>
        <w:rPr>
          <w:color w:val="FF0000"/>
          <w:rtl w:val="1"/>
        </w:rPr>
        <w:t xml:space="preserve">فيَأتي الرُّكنَ الأسوَدَ فيَبدَأُ به، ثمَّ يَطُوفُ سَبعاً، ثلاثاً سَعْياً، وأربعاً مَشياً،  </w:t>
      </w:r>
      <w:r>
        <w:rPr>
          <w:color w:val="FF0000"/>
          <w:rtl w:val="1"/>
        </w:rPr>
        <w:t xml:space="preserve">ثمَّ يَنصَرِفُ فيُصلِّي سجدتَينِ،  </w:t>
      </w:r>
      <w:r>
        <w:rPr>
          <w:color w:val="FF0000"/>
          <w:rtl w:val="1"/>
        </w:rPr>
        <w:t xml:space="preserve">ثمَّ يَنطَلِقُ قبلَ أن يَرجِعَ إلى مَنزِلِه فيَطُوفُ بينَ الصَّفَا والمَرْوةِ. </w:t>
      </w:r>
      <w:r>
        <w:rPr>
          <w:color w:val="FF0000"/>
          <w:rtl w:val="1"/>
        </w:rPr>
        <w:t xml:space="preserve">وكان إذا صَدَرَ عن الحجِّ أو العُمْرةِ أناخَ بالبَطْحاءِ الَّتي بذي الحُلَيفةِ الَّتي كان النبيُّ ﷺ يُنِيخُ بها.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ركعتا الطواف وما بعدهما - الطواف</w:t>
      </w:r>
    </w:p>
    <w:p>
      <w:pPr>
        <w:bidi w:val="1"/>
        <w:jc w:val="start"/>
      </w:pPr>
      <w:r>
        <w:rPr>
          <w:rtl w:val="1"/>
        </w:rPr>
        <w:t>الشرح: الدلالة: كيفية السعي - السعي</w:t>
      </w:r>
    </w:p>
    <w:p>
      <w:pPr>
        <w:bidi w:val="1"/>
        <w:jc w:val="start"/>
      </w:pPr>
      <w:r>
        <w:rPr>
          <w:rtl w:val="1"/>
        </w:rPr>
        <w:t>الشرح: الدلالة: كيفية دخول مكة - الدخول إلى مكة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 xml:space="preserve">الشرح: الدلالة: أعماله ﷺ في العمرة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