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15833 — الرقم الفرعي: 99 — الرقم الأصلي: 15833 — ج: 3 — ص: 466</w:t>
        <w:br/>
      </w:r>
      <w:r>
        <w:rPr>
          <w:rtl w:val="1"/>
        </w:rPr>
        <w:t xml:space="preserve"> حدثنا عبد الله حدثني أبي ثنا  حجّاج ثنا شريك عن عبد الله بن عيسى عن جُمَيْع بْن عُمَيْر ملاحظة ولم يشكّ عن خاله أبي بردة بن نيار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انطلقتُ مع النّبيِّ ﷺ إلى بَقيعِ المُصلَّى، فأَدخَلَ يدَهُ في طعامٍ ثم أَخرَجَها، فإذا هو مَغشُوش، أو مُختَلِف،  </w:t>
      </w:r>
      <w:r>
        <w:rPr>
          <w:color w:val="FF0000"/>
          <w:rtl w:val="1"/>
        </w:rPr>
        <w:t xml:space="preserve">فقال: «ليس مِنَّا مَن غشَّنا».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