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22138 — الرقم الفرعي: 99 — الرقم الأصلي: 22138 — ج: 5 — ص: 248</w:t>
        <w:br/>
      </w:r>
      <w:r>
        <w:rPr>
          <w:rtl w:val="1"/>
        </w:rPr>
        <w:t xml:space="preserve"> حدثنا موسى بن داود ثنا همام عن قتادة عن أيمن عن أبي أمامة قال:قال رسول الله صلى الله عليه وسلم</w:t>
        <w:br/>
      </w:r>
      <w:r>
        <w:rPr>
          <w:color w:val="FF0000"/>
          <w:rtl w:val="1"/>
        </w:rPr>
        <w:t xml:space="preserve">«طُوبَى لمَن رآني وآمَنَ بي،  </w:t>
      </w:r>
      <w:r>
        <w:rPr>
          <w:color w:val="FF0000"/>
          <w:rtl w:val="1"/>
        </w:rPr>
        <w:t xml:space="preserve">طوبى لمَن آمن بي ولم يَرَني - سبعَ مِرَار -».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الإيمان به ﷺ - فرضُ الإيمان به ﷺ ووجوب طاعته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