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رأى أنّ صاحب الحوض والقربة أحقّ بمائه-كتاب الشرب-صحيح البخاري — رقم الحديث: 2369 — الرقم الفرعي: 99 — الرقم الأصلي: 2369</w:t>
        <w:br/>
      </w:r>
      <w:r>
        <w:rPr>
          <w:rtl w:val="1"/>
        </w:rPr>
        <w:t xml:space="preserve"> حدثنا عبد الله بن محمد حدثنا سفيان عن عمرو عن أبي صالح السّمّان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«ثلاثةٌ لا يُكلِّمُهم اللهُ يومَ القِيامةِ ولا يَنظُرُ إليهم:  </w:t>
      </w:r>
      <w:r>
        <w:rPr>
          <w:color w:val="FF0000"/>
          <w:rtl w:val="1"/>
        </w:rPr>
        <w:t xml:space="preserve">رجلٌ حَلَفَ على سِلْعةٍ لقد أعطَى بها أكثَرَ ممَّا أعطَى، وهو كاذِبٌ،  </w:t>
      </w:r>
      <w:r>
        <w:rPr>
          <w:color w:val="FF0000"/>
          <w:rtl w:val="1"/>
        </w:rPr>
        <w:t xml:space="preserve">ورجلٌ حَلَفَ على يَمِينٍ كاذِبةٍ بعدَ العَصْرِ ليَقتَطِعَ بها مالَ رجلٍ مُسلِمٍ،  </w:t>
      </w:r>
      <w:r>
        <w:rPr>
          <w:color w:val="000000"/>
          <w:rtl w:val="1"/>
        </w:rPr>
        <w:t xml:space="preserve">ورجلٌ مَنَعَ فَضْلَ ماءٍ، فيقولُ الله: اليومَ أمنَعُكَ فَضْلي كما مَنَعْتَ فَضْلَ ما لم تَعمَلْ يَداكَ». </w:t>
      </w:r>
      <w:r>
        <w:rPr>
          <w:color w:val="000000"/>
          <w:rtl w:val="1"/>
        </w:rPr>
        <w:t xml:space="preserve">قال عليٌّ: حدَّثنا سفيانُ غيرَ مَرّةٍ، عن عَمرٍو، سمعَ أبا صالحٍ يَبلُغُ به النبيَّ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حال الحالف كذبا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