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تأليف القرآن-كتاب فضائل القرآن-صحيح البخاري — رقم الحديث: 4993 — الرقم الفرعي: 99 — الرقم الأصلي: 4993</w:t>
        <w:br/>
      </w:r>
      <w:r>
        <w:rPr>
          <w:rtl w:val="1"/>
        </w:rPr>
        <w:t xml:space="preserve"> حدثنا إبراهيم بن موسى أخبرنا هشام بن يوسف أنّ ابن جُريج أخبرهم قال:وأخبرني يوسف بن ماهَك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إنّي عندَ عائشةَ أمِّ المؤمنينَ، رضي الله عنها، إذْ جاءَها عِراقِيٌّ، فقال: أيُّ الكَفَنِ خيرٌ؟  </w:t>
      </w:r>
      <w:r>
        <w:rPr>
          <w:color w:val="000000"/>
          <w:rtl w:val="1"/>
        </w:rPr>
        <w:t xml:space="preserve">قالت: وَيحَكَ، وما يَضُرُّكَ؟  </w:t>
      </w:r>
      <w:r>
        <w:rPr>
          <w:color w:val="000000"/>
          <w:rtl w:val="1"/>
        </w:rPr>
        <w:t xml:space="preserve">قال: يا أُمَّ المؤمنينَ، أرِيني مُصْحَفَكِ، قالت: لِمَ؟ قال: لَعَلّي أُوَلِّفُ القرآنَ عليه، فإنَّه يُقرَأُ غيرَ مُؤَلَّفٍ،  </w:t>
      </w:r>
      <w:r>
        <w:rPr>
          <w:color w:val="000000"/>
          <w:rtl w:val="1"/>
        </w:rPr>
        <w:t xml:space="preserve">قالت: وما يَضُرُّكَ أيَّهُ قرأْتَ قبلُ؟  </w:t>
      </w:r>
      <w:r>
        <w:rPr>
          <w:color w:val="FF0000"/>
          <w:rtl w:val="1"/>
        </w:rPr>
        <w:t xml:space="preserve">إنَّما نَزَلَ أوَّلَ ما نَزَلَ منه سورةٌ منَ المُفَصَّلِ فيها ذِكْرُ الجنَّةِ والنّار،  </w:t>
      </w:r>
      <w:r>
        <w:rPr>
          <w:color w:val="FF0000"/>
          <w:rtl w:val="1"/>
        </w:rPr>
        <w:t xml:space="preserve">حتَّى إذا ثابَ النّاسُ إلى الإسلامِ نَزَلَ الحلالُ والحَرَامُ،  </w:t>
      </w:r>
      <w:r>
        <w:rPr>
          <w:color w:val="FF0000"/>
          <w:rtl w:val="1"/>
        </w:rPr>
        <w:t xml:space="preserve">ولو نَزَلَ أوَّلَ شيءٍ: لا تَشْرَبُوا الخمرَ، لَقالوا: لا نَدَعُ الخمرَ أبداً، ولو نَزَلَ: لا تَزْنُوا، لَقالوا: لا نَدَعُ الزِّنى أبداً،  </w:t>
      </w:r>
      <w:r>
        <w:rPr>
          <w:color w:val="FF0000"/>
          <w:rtl w:val="1"/>
        </w:rPr>
        <w:t xml:space="preserve">لقد نَزَلَ بمكَّةَ على محمَّدٍ ﷺ، وإنّي لَجاريةٌ ألْعَبُ: {بَلِ السَّاعَةُ مَوْعِدُهُمْ وَالسَّاعَةُ أَدْهَى وَأَمَرُّ} [القمر: ٤٦]، وما نَزَلَتْ سورةُ البقرةِ والنِّساءِ، إلَّا وأنا عندَه،  </w:t>
      </w:r>
      <w:r>
        <w:rPr>
          <w:color w:val="000000"/>
          <w:rtl w:val="1"/>
        </w:rPr>
        <w:t xml:space="preserve">قال: فأخرَجَتْ له المُصْحَفَ، فأملَتْ عليه آيَ السُّورَة.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حفظ القرآن وجمعه وترتيبه</w:t>
      </w:r>
    </w:p>
    <w:p>
      <w:pPr>
        <w:bidi w:val="1"/>
        <w:jc w:val="start"/>
      </w:pPr>
      <w:r>
        <w:rPr>
          <w:rtl w:val="1"/>
        </w:rPr>
        <w:t>الشرح: الدلالة: الضوابط الايمانية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الضوابط التشريعية(الأحكام الشرعية)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التغير الاجتماعي - مفهوم التغير الاجتماعي  و مصطلحاته</w:t>
      </w:r>
    </w:p>
    <w:p>
      <w:pPr>
        <w:bidi w:val="1"/>
        <w:jc w:val="start"/>
      </w:pPr>
      <w:r>
        <w:rPr>
          <w:rtl w:val="1"/>
        </w:rPr>
        <w:t>الشرح: الدلالة: الديني (الدعوي ) - عوامل التغير الاجتماعي - عوامل التغير الاجتماعي</w:t>
      </w:r>
    </w:p>
    <w:p>
      <w:pPr>
        <w:bidi w:val="1"/>
        <w:jc w:val="start"/>
      </w:pPr>
      <w:r>
        <w:rPr>
          <w:rtl w:val="1"/>
        </w:rPr>
        <w:t>الشرح: الدلالة: نزول القرآن منجماً - نزول القرآن</w:t>
      </w:r>
    </w:p>
    <w:p>
      <w:pPr>
        <w:bidi w:val="1"/>
        <w:jc w:val="start"/>
      </w:pPr>
      <w:r>
        <w:rPr>
          <w:rtl w:val="1"/>
        </w:rPr>
        <w:t>الشرح: الدلالة: ترتيب القرآن و رسمه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قراءة القرآن</w:t>
      </w:r>
    </w:p>
    <w:p>
      <w:pPr>
        <w:bidi w:val="1"/>
        <w:jc w:val="start"/>
      </w:pPr>
      <w:r>
        <w:rPr>
          <w:rtl w:val="1"/>
        </w:rPr>
        <w:t>الشرح: الدلالة: نزول القرآن بمكة المكرمة - أماكن نزول القرآن</w:t>
      </w:r>
    </w:p>
    <w:p>
      <w:pPr>
        <w:bidi w:val="1"/>
        <w:jc w:val="start"/>
      </w:pPr>
      <w:r>
        <w:rPr>
          <w:rtl w:val="1"/>
        </w:rPr>
        <w:t>الشرح: الدلالة: نزول القرآن بالمدينة المنورة - أماكن نزول القرآن</w:t>
      </w:r>
    </w:p>
    <w:p>
      <w:pPr>
        <w:bidi w:val="1"/>
        <w:jc w:val="start"/>
      </w:pPr>
      <w:r>
        <w:rPr>
          <w:rtl w:val="1"/>
        </w:rPr>
        <w:t>الشرح: الدلالة: كتابة الصحابة للقرآن - حفظ القرآن في السطور</w:t>
      </w:r>
    </w:p>
    <w:p>
      <w:pPr>
        <w:bidi w:val="1"/>
        <w:jc w:val="start"/>
      </w:pPr>
      <w:r>
        <w:rPr>
          <w:rtl w:val="1"/>
        </w:rPr>
        <w:t>الشرح: الدلالة: ترتيب السور و الآيات - ترتيب القرآن و رسمه</w:t>
      </w:r>
    </w:p>
    <w:p>
      <w:pPr>
        <w:bidi w:val="1"/>
        <w:jc w:val="start"/>
      </w:pPr>
      <w:r>
        <w:rPr>
          <w:rtl w:val="1"/>
        </w:rPr>
        <w:t>الشرح: الدلالة: تدارس القرآن - فضل حفظ القرآن وتعاهده</w:t>
      </w:r>
    </w:p>
    <w:p>
      <w:pPr>
        <w:bidi w:val="1"/>
        <w:jc w:val="start"/>
      </w:pPr>
      <w:r>
        <w:rPr>
          <w:rtl w:val="1"/>
        </w:rPr>
        <w:t>الشرح: الدلالة: الأمر باقتناء المصحف - أحكام المصحف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باللعب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مراعاة الأولويات في الدعوة..</w:t>
      </w:r>
    </w:p>
    <w:p>
      <w:pPr>
        <w:bidi w:val="1"/>
        <w:jc w:val="start"/>
      </w:pPr>
      <w:r>
        <w:rPr>
          <w:rtl w:val="1"/>
        </w:rPr>
        <w:t>الشرح: الدلالة: قيمة الأولوية في التدرج - قيم الأولويات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