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26499 — الرقم الفرعي: 99 — الرقم الأصلي: 26499</w:t>
        <w:br/>
      </w:r>
      <w:r>
        <w:rPr>
          <w:rtl w:val="1"/>
        </w:rPr>
        <w:t xml:space="preserve"> حدثنا عبد الله حدثني أبي ثنا إسماعيل ثنا محمد بن إسحاق قال:حدثني عبد الله بن رافع عن أمّ سلمة قالت :قال رسول الله صلى الله عليه وسلم</w:t>
        <w:br/>
      </w:r>
      <w:r>
        <w:rPr>
          <w:color w:val="FF0000"/>
          <w:rtl w:val="1"/>
        </w:rPr>
        <w:t xml:space="preserve">«إذا حضَرَ العَشاءُ وحضَرَت الصَّلاةُ فابدَؤوا بالعَشاء».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إذا حضر الطعام يقدم الطعام على الصلاة 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