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1186 — الرقم الفرعي: 99 — الرقم الأصلي: 1186</w:t>
        <w:br/>
      </w:r>
      <w:r>
        <w:rPr>
          <w:rtl w:val="1"/>
        </w:rPr>
        <w:t xml:space="preserve"> حدثنا محمد بن جعفر حدثنا معمر حدثني الزهريّ عن أبي عبيد ملاحظة مولى عبد الرحمن بن عوف قال:شهدتُ عليّاً قال:سمعت رسول الله صلى الله عليه وسلم</w:t>
        <w:br/>
      </w:r>
      <w:r>
        <w:rPr>
          <w:color w:val="000000"/>
          <w:rtl w:val="1"/>
        </w:rPr>
        <w:t xml:space="preserve">يَنْهَى أَنْ يُمْسِكَ أَحَدٌ مِنْ نُسُكِهِ شَيْئًا فَوْقَ ثَلاثَةِ أَيَّامٍ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