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سُنّة الجلوس في التشهّد-كتاب الصلاة-صحيح البخاري — رقم الحديث: 828 — الرقم الفرعي: 99 — الرقم الأصلي: 828</w:t>
        <w:br/>
      </w:r>
      <w:r>
        <w:rPr>
          <w:rtl w:val="1"/>
        </w:rPr>
        <w:t xml:space="preserve"> حدثنا يحيى بن بكير قال:حدثنا الليث عن خالد عن سعيد عن محمد بن عمرو بن حلحلة عن محمد بن عمرو بن عطاء وحدثنا الليث عن يزيد بن أبي حبيب و يزيد بن محمد عن محمد بن عمرو بن حلحلة عن محمد بن عمرو بن عطاء</w:t>
        <w:br/>
      </w:r>
      <w:r>
        <w:rPr>
          <w:color w:val="FF0000"/>
          <w:rtl w:val="1"/>
        </w:rPr>
        <w:t xml:space="preserve">أنَّه كان جالسًا مع نَفَرٍ من أصحاب النبيِّ ﷺ، فذَكَرْنا صلاةَ النبيِّ ﷺ، فقال أبو حُمَيدٍ السّاعدِيُّ: أنا كنتُ أحفَظَكم لِصلاةِ رسولِ الله ﷺ،  </w:t>
      </w:r>
      <w:r>
        <w:rPr>
          <w:color w:val="FF0000"/>
          <w:rtl w:val="1"/>
        </w:rPr>
        <w:t xml:space="preserve">رأيتُه إذا كَبَّرَ جَعَلَ يَدَيه حِذاءَ مَنكِبَيه،  </w:t>
      </w:r>
      <w:r>
        <w:rPr>
          <w:color w:val="FF0000"/>
          <w:rtl w:val="1"/>
        </w:rPr>
        <w:t xml:space="preserve">وإذا رَكَعَ أمكَنَ يَدَيه من رُكْبتَيه ثمَّ هَصَرَ ظَهْرَه،  </w:t>
      </w:r>
      <w:r>
        <w:rPr>
          <w:color w:val="FF0000"/>
          <w:rtl w:val="1"/>
        </w:rPr>
        <w:t xml:space="preserve">فإذا رَفَعَ رأسَه استَوَى حتَّى يعودَ كلُّ فَقَارٍ مكانَه،  </w:t>
      </w:r>
      <w:r>
        <w:rPr>
          <w:color w:val="FF0000"/>
          <w:rtl w:val="1"/>
        </w:rPr>
        <w:t xml:space="preserve">فإذا سَجَدَ وَضَعَ يَدَيه غيرَ مُفْتَرِشٍ ولا قابِضِهما، واستَقبَلَ بأطرافِ أصابعِ رِجلَيه القِبْلةَ،  </w:t>
      </w:r>
      <w:r>
        <w:rPr>
          <w:color w:val="FF0000"/>
          <w:rtl w:val="1"/>
        </w:rPr>
        <w:t xml:space="preserve">فإذا جَلَسَ في الرَّكْعَتَينِ جَلَسَ على رِجْلِه اليُسرَى ونَصَبَ اليُمنَى،  </w:t>
      </w:r>
      <w:r>
        <w:rPr>
          <w:color w:val="FF0000"/>
          <w:rtl w:val="1"/>
        </w:rPr>
        <w:t xml:space="preserve">وإذا جَلَسَ في الرَّكْعةِ الآخرةِ قَدَّمَ رِجلَه اليُسرَى ونَصَبَ الأخرَى وقَعَدَ على مَقْعَدَتِه. </w:t>
      </w:r>
      <w:r>
        <w:rPr>
          <w:color w:val="000000"/>
          <w:rtl w:val="1"/>
        </w:rPr>
        <w:t xml:space="preserve">وسَمِعَ اللَّيثُ يزيدَ بنَ أبي حَبيبٍ، ويزيدُ من محمَّدِ بنِ حَلْحَلةَ، وابنُ حَلْحَلةَ مِن ابنِ عطاءٍ. </w:t>
      </w:r>
      <w:r>
        <w:rPr>
          <w:color w:val="000000"/>
          <w:rtl w:val="1"/>
        </w:rPr>
        <w:t xml:space="preserve">قال أبو صالحٍ، عن اللَّيثِ: كلُّ قَفَارٍ. </w:t>
      </w:r>
      <w:r>
        <w:rPr>
          <w:color w:val="000000"/>
          <w:rtl w:val="1"/>
        </w:rPr>
        <w:t xml:space="preserve">وقال ابنُ المُبارَكِ: عن يحيى بنِ أيوبَ، قال: حدَّثني يزيدُ بنُ أبي حَبيبٍ: أنَّ محمَّدَ ابنَ عَمرٍو حَدَّثَه: كلُّ فَقَارٍ. 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هيئة الجلوس للتشهد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هيئة الوقوف في الصلاة والأمر به - الوقوف في الصلاة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 xml:space="preserve">الشرح: الدلالة: أحاديث جامعة في صفة صلاته ﷺ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