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20119 — الرقم الفرعي: 99 — الرقم الأصلي: 20119 — ج: 5 — ص: 11</w:t>
        <w:br/>
      </w:r>
      <w:r>
        <w:rPr>
          <w:rtl w:val="1"/>
        </w:rPr>
        <w:t xml:space="preserve"> حدثنا عليّ بن عبد الله ثنا معاذ حدثني أبي عن مطر عن الحسن عن سمرة</w:t>
        <w:br/>
      </w:r>
      <w:r>
        <w:rPr>
          <w:color w:val="FF0000"/>
          <w:rtl w:val="1"/>
        </w:rPr>
        <w:t xml:space="preserve">أنَّ نبيَّ الله ﷺ نَهى أن تُتلقَّى الأَجلابُ حتى تَبلُغَ الأَسواق،  </w:t>
      </w:r>
      <w:r>
        <w:rPr>
          <w:color w:val="FF0000"/>
          <w:rtl w:val="1"/>
        </w:rPr>
        <w:t xml:space="preserve">أو يَبيعَ حاضرٌ لبادٍ.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