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 — الرقم الفرعي: 99 — الرقم الأصلي: 35 — ج: 1 — ص: 7</w:t>
        <w:br/>
      </w:r>
      <w:r>
        <w:rPr>
          <w:rtl w:val="1"/>
        </w:rPr>
        <w:t xml:space="preserve"> حدثنا يحيى بن آدم قال:حدثنا أبو بكر ملاحظة يعني ابن عيّاش عن عاصم عن زرّ عن عبد الله</w:t>
        <w:br/>
      </w:r>
      <w:r>
        <w:rPr>
          <w:color w:val="000000"/>
          <w:rtl w:val="1"/>
        </w:rPr>
        <w:t xml:space="preserve">أَنَّ أَبَا بَكْرٍ وَعُمَرَ بَشَّرَاهُ أَنَّ رَسُولَ اللهِ ﷺ، قَالَ: «مَنْ سَرَّهُ أَنْ يَقْرَأَ الْقُرْآنَ غَضًّا كَمَا أُنْزِلَ، فَلْيَقْرَأْهُ عَلَى قِرَاءَةِ ابْنِ أُمِّ عَبْد».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