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النهي عن تزويج مَن لم يلد من النساء-كتاب النكاح-سنن أبي داود — رقم الحديث: 2050 — الرقم الفرعي: 99 — الرقم الأصلي: 2050</w:t>
        <w:br/>
      </w:r>
      <w:r>
        <w:rPr>
          <w:rtl w:val="1"/>
        </w:rPr>
        <w:t xml:space="preserve"> حدثنا أحمد بن إبراهيم ثنا يزيد بن هارون أخبرنا مستلم بن سعيد بن أخت منصور بن زاذان عن منصور ملاحظة يعني ابن زاذان عن معاوية بن قرّة عن معقل بن يسار</w:t>
        <w:br/>
      </w:r>
      <w:r>
        <w:rPr>
          <w:color w:val="000000"/>
          <w:rtl w:val="1"/>
        </w:rPr>
        <w:t xml:space="preserve">قال:  </w:t>
      </w:r>
      <w:r>
        <w:rPr>
          <w:color w:val="FF0000"/>
          <w:rtl w:val="1"/>
        </w:rPr>
        <w:t xml:space="preserve">جاءَ رجلٌ إلى النّبيِّ ﷺ فقال:  </w:t>
      </w:r>
      <w:r>
        <w:rPr>
          <w:color w:val="FF0000"/>
          <w:rtl w:val="1"/>
        </w:rPr>
        <w:t xml:space="preserve">إنِّي أَصبتُ امرأةً ذاتَ حَسَبٍ وجَمالٍ،  </w:t>
      </w:r>
      <w:r>
        <w:rPr>
          <w:color w:val="FF0000"/>
          <w:rtl w:val="1"/>
        </w:rPr>
        <w:t xml:space="preserve">وأنَّها لا تَلِدُ، أَفأَتزوَّجُها؟ قال: «لا» ثم أَتاهُ الثّانيةَ فنهاه،  </w:t>
      </w:r>
      <w:r>
        <w:rPr>
          <w:color w:val="FF0000"/>
          <w:rtl w:val="1"/>
        </w:rPr>
        <w:t xml:space="preserve">ثم أَتاهُ الثّالثةَ، فقال: «تزوَّجوا الوَدُودَ الوَلُودَ؛ فإنِّي مُكاثِرٌ بِكُمُ الأُمم». </w:t>
      </w:r>
    </w:p>
    <w:p>
      <w:pPr>
        <w:bidi w:val="1"/>
        <w:jc w:val="start"/>
      </w:pPr>
      <w:r>
        <w:rPr>
          <w:rtl w:val="1"/>
        </w:rPr>
        <w:t>درجة الحديث: إسناده حسن</w:t>
      </w:r>
    </w:p>
    <w:p>
      <w:pPr>
        <w:bidi w:val="1"/>
        <w:jc w:val="start"/>
      </w:pPr>
      <w:r>
        <w:rPr>
          <w:rtl w:val="1"/>
        </w:rPr>
        <w:t>الشرح: الدلالة: التميز - المباديء</w:t>
      </w:r>
    </w:p>
    <w:p>
      <w:pPr>
        <w:bidi w:val="1"/>
        <w:jc w:val="start"/>
      </w:pPr>
      <w:r>
        <w:rPr>
          <w:rtl w:val="1"/>
        </w:rPr>
        <w:t>الشرح: الدلالة: الحسب والمال والجمال - اختيار الأزواج</w:t>
      </w:r>
    </w:p>
    <w:p>
      <w:pPr>
        <w:bidi w:val="1"/>
        <w:jc w:val="start"/>
      </w:pPr>
      <w:r>
        <w:rPr>
          <w:rtl w:val="1"/>
        </w:rPr>
        <w:t>الشرح: الدلالة: السلامة من العيوب - اختيار الأزواج</w:t>
      </w:r>
    </w:p>
    <w:p>
      <w:pPr>
        <w:bidi w:val="1"/>
        <w:jc w:val="start"/>
      </w:pPr>
      <w:r>
        <w:rPr>
          <w:rtl w:val="1"/>
        </w:rPr>
        <w:t>الشرح: الدلالة: البكر والولود الودود - اختيار الأزواج</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الزواج من الولود - الزواج</w:t>
      </w:r>
    </w:p>
    <w:p>
      <w:pPr>
        <w:bidi w:val="1"/>
        <w:jc w:val="start"/>
      </w:pPr>
      <w:r>
        <w:rPr>
          <w:rtl w:val="1"/>
        </w:rPr>
        <w:t>الشرح: الدلالة: العقم - حجم الأسرة</w:t>
      </w:r>
    </w:p>
    <w:p>
      <w:pPr>
        <w:bidi w:val="1"/>
        <w:jc w:val="start"/>
      </w:pPr>
      <w:r>
        <w:rPr>
          <w:rtl w:val="1"/>
        </w:rPr>
        <w:t>الشرح: الدلالة: الحث على تكثير النسل - حفظ النسل</w:t>
      </w:r>
    </w:p>
    <w:p>
      <w:pPr>
        <w:bidi w:val="1"/>
        <w:jc w:val="start"/>
      </w:pPr>
      <w:r>
        <w:rPr>
          <w:rtl w:val="1"/>
        </w:rPr>
        <w:t>الشرح: الدلالة: الوراثة والزواج - صحة الإنسان البدنية الوقائية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