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ترك الصلاة،قبل العيد وبعدها،في المصلى-كتاب صلاة العيدين-صحيح مسلم — رقم الحديث: 889 — الرقم الفرعي: 99 — الرقم الأصلي: 889</w:t>
        <w:br/>
      </w:r>
      <w:r>
        <w:rPr>
          <w:rtl w:val="1"/>
        </w:rPr>
        <w:t xml:space="preserve"> حدثنا يحيى بن أيوب و قتيبة و ابن حُجر قالوا:حدثنا إسماعيل بن جعفر عن داود بن قيس عن عِياض بن عبد الله بن سعد عن أبي سعيد الخدريّ</w:t>
        <w:br/>
      </w:r>
      <w:r>
        <w:rPr>
          <w:color w:val="FF0000"/>
          <w:rtl w:val="1"/>
        </w:rPr>
        <w:t xml:space="preserve">أَنَّ رسولَ الله ﷺ كان يخرجُ يومَ الأَضحى ويومَ الفِطر، فيَبدأُ بالصَّلاة،  </w:t>
      </w:r>
      <w:r>
        <w:rPr>
          <w:color w:val="FF0000"/>
          <w:rtl w:val="1"/>
        </w:rPr>
        <w:t xml:space="preserve">فإذا صلَّى صلاتَه وسلَّمَ، قامَ فأقبلَ على النّاسِ وهم جُلوسٌ في مُصلَّاهم،  </w:t>
      </w:r>
      <w:r>
        <w:rPr>
          <w:color w:val="FF0000"/>
          <w:rtl w:val="1"/>
        </w:rPr>
        <w:t xml:space="preserve">فإن كانَ له حاجةٌ ببَعثٍ ذَكَرهُ للنَّاس، أَو كانت له حاجةٌ بغيرِ ذلك أَمَرَهم بها،  </w:t>
      </w:r>
      <w:r>
        <w:rPr>
          <w:color w:val="FF0000"/>
          <w:rtl w:val="1"/>
        </w:rPr>
        <w:t xml:space="preserve">وكان يقول: «تَصدَّقوا تَصدَّقوا تَصدَّقوا» وكان أكثرَ مَن يتصدقُ النِّساءُ،  </w:t>
      </w:r>
      <w:r>
        <w:rPr>
          <w:color w:val="FF0000"/>
          <w:rtl w:val="1"/>
        </w:rPr>
        <w:t xml:space="preserve">ثم يَنصرف.  </w:t>
      </w:r>
      <w:r>
        <w:rPr>
          <w:color w:val="000000"/>
          <w:rtl w:val="1"/>
        </w:rPr>
        <w:t xml:space="preserve">فلم يَزَل كذلك حتَّى كان مروانُ بنُ الحَكَم،  </w:t>
      </w:r>
      <w:r>
        <w:rPr>
          <w:color w:val="000000"/>
          <w:rtl w:val="1"/>
        </w:rPr>
        <w:t xml:space="preserve">فخرجتُ مُخاصِرًا مروانَ، حتَّى أَتَينا المُصلَّى،  </w:t>
      </w:r>
      <w:r>
        <w:rPr>
          <w:color w:val="000000"/>
          <w:rtl w:val="1"/>
        </w:rPr>
        <w:t xml:space="preserve">فإذا كثيرُ بن الصَّلْت قد بنى مِنْبَرًا من طِينٍ ولَبِن،  </w:t>
      </w:r>
      <w:r>
        <w:rPr>
          <w:color w:val="000000"/>
          <w:rtl w:val="1"/>
        </w:rPr>
        <w:t xml:space="preserve">فإذا مروانُ يُنازِعُني يَدَه، كأنّه يُجُرُّني نحو المِنبَر، وأَنا أَجُرُّه نحو الصّلاةِ،  </w:t>
      </w:r>
      <w:r>
        <w:rPr>
          <w:color w:val="000000"/>
          <w:rtl w:val="1"/>
        </w:rPr>
        <w:t xml:space="preserve">فلمَّا رأيتُ ذلك منه قلتُ: أَين الابتِداءُ بالصَّلاة؟ قال: لا يا أبا سعيد، قد تُرِكَ ما تَعلمُ،  </w:t>
      </w:r>
      <w:r>
        <w:rPr>
          <w:color w:val="000000"/>
          <w:rtl w:val="1"/>
        </w:rPr>
        <w:t xml:space="preserve">قلت: كلّا، والذي نفْسِي بيده، لا تأتونَ بخيرٍ ممَّا أَعلمُ، ثلاثَ مِرارٍ،  </w:t>
      </w:r>
      <w:r>
        <w:rPr>
          <w:color w:val="000000"/>
          <w:rtl w:val="1"/>
        </w:rPr>
        <w:t xml:space="preserve">ثم انصَرف. 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العيد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