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النبيذ إذا غلى-كتاب الأشربة-سنن أبي داود — رقم الحديث: 3716 — الرقم الفرعي: 99 — الرقم الأصلي: 3716</w:t>
        <w:br/>
      </w:r>
      <w:r>
        <w:rPr>
          <w:rtl w:val="1"/>
        </w:rPr>
        <w:t xml:space="preserve"> حدثنا هشام بن عمار ثنا صدقة بن خالد ثنا زيد بن واقد عن خالد بن عبد الله بن حسين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علِمتُ أنَّ رسولَ الله ﷺ كان يَصومُ،  </w:t>
      </w:r>
      <w:r>
        <w:rPr>
          <w:color w:val="FF0000"/>
          <w:rtl w:val="1"/>
        </w:rPr>
        <w:t xml:space="preserve">فتحيَّنتُ فِطْرَه بنَبيذٍ صنَعتُه في دُبّاء،  </w:t>
      </w:r>
      <w:r>
        <w:rPr>
          <w:color w:val="FF0000"/>
          <w:rtl w:val="1"/>
        </w:rPr>
        <w:t xml:space="preserve">ثم أَتيتُه به، فإذا هو يَنِشُّ،  </w:t>
      </w:r>
      <w:r>
        <w:rPr>
          <w:color w:val="FF0000"/>
          <w:rtl w:val="1"/>
        </w:rPr>
        <w:t xml:space="preserve">فقال: «اضرِبْ بهذا الحائطَ، فإنَّ هذا شَرابُ مَن لا يُؤمِن باللهِ واليومِ الآخِر».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محبة الرسول ﷺ وتعظيمه وتوقيره.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الحفظ في الأواني المقيّرة والمزفّتة وفي الدبّاء - التلوث بسبب تلوث الآنية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