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17054 — الرقم الفرعي: 99 — الرقم الأصلي: 17054</w:t>
        <w:br/>
      </w:r>
      <w:r>
        <w:rPr>
          <w:rtl w:val="1"/>
        </w:rPr>
        <w:t xml:space="preserve"> عبد الرزاق، عن إبراهيم بن أبي يحيى، عن ربيعة عن عطاء بن أبي مسلم، عن ابن المسيب، قال: قال النبيّ صلى الله عليه وسلم:</w:t>
        <w:br/>
      </w:r>
      <w:r>
        <w:rPr>
          <w:color w:val="000000"/>
          <w:rtl w:val="1"/>
        </w:rPr>
        <w:t xml:space="preserve">«الخَمرُ مِن العِنَب، والسَّكَرُ من التَّمر، والمِزْرُ مِن الذُّرة، والغُبَيْراءُ مِن الحِنْطة، والبِتْعُ مِن العَسَل،  </w:t>
      </w:r>
      <w:r>
        <w:rPr>
          <w:color w:val="000000"/>
          <w:rtl w:val="1"/>
        </w:rPr>
        <w:t xml:space="preserve">كلُّ مُسكِرٍ حرَام،  </w:t>
      </w:r>
      <w:r>
        <w:rPr>
          <w:color w:val="FF0000"/>
          <w:rtl w:val="1"/>
        </w:rPr>
        <w:t xml:space="preserve">والمَكرُ والخَديعةُ في النَّار،  </w:t>
      </w:r>
      <w:r>
        <w:rPr>
          <w:color w:val="FF0000"/>
          <w:rtl w:val="1"/>
        </w:rPr>
        <w:t xml:space="preserve">والبَيعُ عن تَراضٍ».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رضا العاقدين - الصيغة ( الإيجاب والقبول)</w:t>
      </w:r>
    </w:p>
    <w:p>
      <w:pPr>
        <w:bidi w:val="1"/>
        <w:jc w:val="start"/>
      </w:pPr>
      <w:r>
        <w:rPr>
          <w:rtl w:val="1"/>
        </w:rPr>
        <w:t>الشرح: الدلالة: الغبن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