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1449 — الرقم الفرعي: 99 — الرقم الأصلي: 1449</w:t>
        <w:br/>
      </w:r>
      <w:r>
        <w:rPr>
          <w:rtl w:val="1"/>
        </w:rPr>
        <w:t xml:space="preserve"> حدثنا حسن حدثنا ابن لَهيعة حدثنا يزيد بن أبي حبيب عن داود بن عامر بن سعد بن أبي وقاص عن أبيه عن جدّه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«لو أن ما يُقِلّ ظُفُرٌ مما في الجنّةِ بدا، لتَزَخرَفَت له ما بين خَوَافِق السَّمواتِ والأَرض،  </w:t>
      </w:r>
      <w:r>
        <w:rPr>
          <w:color w:val="FF0000"/>
          <w:rtl w:val="1"/>
        </w:rPr>
        <w:t xml:space="preserve">ولو أن رَجُلًا مِن أَهلِ الجَنَّةِ اطّلع، فبدا سِوارُه، لطَمَس ضَوْؤهُ ضَوءَ الشَّمس، كما تَطمِسُ الشَّمسُ ضَوءَ النُّجوم». 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من صفات أهل الجنة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