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أخذ أموال الناس يريد أداءها-كتاب الاستقراض-صحيح البخاري — رقم الحديث: 2387 — الرقم الفرعي: 99 — الرقم الأصلي: 2387</w:t>
        <w:br/>
      </w:r>
      <w:r>
        <w:rPr>
          <w:rtl w:val="1"/>
        </w:rPr>
        <w:t xml:space="preserve"> حدثنا عبد العزيز بن عبد الله الأويسيّ حدثنا سليمان بن بلال عن ثور بن زيد عن أبي الغيث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أخَذَ أموالَ النّاسِ يريدُ أداءَها أدَّى اللهُ عنه،  </w:t>
      </w:r>
      <w:r>
        <w:rPr>
          <w:color w:val="FF0000"/>
          <w:rtl w:val="1"/>
        </w:rPr>
        <w:t xml:space="preserve">ومَن أخَذَ يريدُ إتْلافَها أتلَفَه اللهُ». 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الأمانة في وفاء الدين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