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يؤكَل من لحوم الأضاحي-كتاب الأضاحي-صحيح البخاري — رقم الحديث: 5571 — الرقم الفرعي: 99 — الرقم الأصلي: 5571</w:t>
        <w:br/>
      </w:r>
      <w:r>
        <w:rPr>
          <w:rtl w:val="1"/>
        </w:rPr>
        <w:t xml:space="preserve"> حدثنا حبّان بن موسى أخبرنا عبد الله قال:أخبرني يونس عن الزهريّ قال:حدثني أبو عبيد ملاحظة مولى ابن أزهر</w:t>
        <w:br/>
      </w:r>
      <w:r>
        <w:rPr>
          <w:color w:val="000000"/>
          <w:rtl w:val="1"/>
        </w:rPr>
        <w:t xml:space="preserve">أنَّه شَهِدَ العِيدَ يومَ الأضْحَى مع عمرَ بنِ الخطَّاب، رضي الله عنه،  </w:t>
      </w:r>
      <w:r>
        <w:rPr>
          <w:color w:val="FF0000"/>
          <w:rtl w:val="1"/>
        </w:rPr>
        <w:t xml:space="preserve">فصَلَّى قبلَ الخُطْبةِ،  </w:t>
      </w:r>
      <w:r>
        <w:rPr>
          <w:color w:val="FF0000"/>
          <w:rtl w:val="1"/>
        </w:rPr>
        <w:t xml:space="preserve">ثمَّ خَطَبَ النّاسَ فقال: يا أ يُّها النّاسُ، إنَّ رسولَ الله ﷺ قد نَهاكم عن صِيامِ هذَينِ العِيدَينِ، أمَّا أحدُهما فيومُ فِطْرِكم من صِيامِكُم، وأمَّا الآخرُ فيومٌ تَأْكُلونَ نُسُكَكُم.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بعد الصلاة - خطبة صلاة العيد</w:t>
      </w:r>
    </w:p>
    <w:p>
      <w:pPr>
        <w:bidi w:val="1"/>
        <w:jc w:val="start"/>
      </w:pPr>
      <w:r>
        <w:rPr>
          <w:rtl w:val="1"/>
        </w:rPr>
        <w:t>الشرح: الدلالة: خطبة عمر بن الخطاب - خطبة صلاة العيد</w:t>
      </w:r>
    </w:p>
    <w:p>
      <w:pPr>
        <w:bidi w:val="1"/>
        <w:jc w:val="start"/>
      </w:pPr>
      <w:r>
        <w:rPr>
          <w:rtl w:val="1"/>
        </w:rPr>
        <w:t>الشرح: الدلالة: ما ينهى عنه يوم العيد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