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387 — الرقم الفرعي: 99 — الرقم الأصلي: 387 — ج: 1 — ص: 481</w:t>
        <w:br/>
      </w:r>
      <w:r>
        <w:rPr>
          <w:rtl w:val="1"/>
        </w:rPr>
        <w:t xml:space="preserve"> حدثنا وكيع عن حسن بن صالح عن عاصم بن عبيد الله عن سالم عن ابن عمر قال: قال عمر</w:t>
        <w:br/>
      </w:r>
      <w:r>
        <w:rPr>
          <w:color w:val="000000"/>
          <w:rtl w:val="1"/>
        </w:rPr>
        <w:t xml:space="preserve">أَنَا رَأَيْتُ رَسُولَ اللهِ ﷺ يَمْسَحُ عَلَى خُفَّيْهِ فِي السَّفَرِ. </w:t>
      </w:r>
    </w:p>
    <w:p>
      <w:pPr>
        <w:bidi w:val="1"/>
        <w:jc w:val="start"/>
      </w:pPr>
      <w:r>
        <w:rPr>
          <w:rtl w:val="1"/>
        </w:rPr>
        <w:t>درجة الحديث: صحيح لغيره / صحيح لغيره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