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bidi w:val="1"/>
        <w:jc w:val="start"/>
      </w:pPr>
      <w:r>
        <w:rPr>
          <w:rtl w:val="1"/>
        </w:rPr>
        <w:t>مختارات من مكتبة الحديث</w:t>
      </w:r>
    </w:p>
    <w:p>
      <w:pPr>
        <w:bidi w:val="1"/>
        <w:jc w:val="start"/>
      </w:pPr>
      <w:r>
        <w:rPr>
          <w:rtl w:val="1"/>
        </w:rPr>
        <w:t>تقرير يضم 1 حديثًا من المحتوى المنشور. الشواهد المميزة مرتبطة بالدلالة المختارة أو بالتصنيفات المنشورة عند عدم اختيار دلالة. الأحكام من السجلات الأصلية.</w:t>
      </w:r>
    </w:p>
    <w:p>
      <w:pPr>
        <w:bidi w:val="1"/>
        <w:jc w:val="start"/>
      </w:pPr>
      <w:r>
        <w:rPr>
          <w:rtl w:val="1"/>
        </w:rPr>
        <w:fldChar w:fldCharType="begin"/>
        <w:instrText xml:space="preserve">TOC \o "1-9" \h \z \u</w:instrText>
        <w:fldChar w:fldCharType="end"/>
      </w:r>
    </w:p>
    <w:p>
      <w:pPr>
        <w:pStyle w:val="Heading1"/>
        <w:bidi w:val="1"/>
        <w:jc w:val="start"/>
      </w:pPr>
      <w:r>
        <w:rPr>
          <w:rtl w:val="1"/>
        </w:rPr>
        <w:t>الأحاديث المختارة</w:t>
      </w:r>
    </w:p>
    <w:p>
      <w:pPr>
        <w:bidi w:val="1"/>
        <w:jc w:val="start"/>
      </w:pPr>
      <w:r>
        <w:rPr>
          <w:b/>
          <w:rtl w:val="1"/>
        </w:rPr>
        <w:t>صحيح البخاري — باب قوله أيودّ أحدكم أن تكون له جنة-كتاب التفسير-صحيح البخاري — رقم الحديث: 4695 — الرقم الفرعي: 99 — الرقم الأصلي: 4695</w:t>
        <w:br/>
      </w:r>
      <w:r>
        <w:rPr>
          <w:rtl w:val="1"/>
        </w:rPr>
        <w:t xml:space="preserve"> حدثنا عبد العزيز بن عبد الله حدثنا إبراهيم بن سعد عن صالح عن ابن شهاب قال:أخبرني عُروة بن الزبير عن عائشة،رضي الله عنها</w:t>
        <w:br/>
      </w:r>
      <w:r>
        <w:rPr>
          <w:color w:val="FF0000"/>
          <w:rtl w:val="1"/>
        </w:rPr>
        <w:t xml:space="preserve">قالت له، وهو يَسْألُها عن قولِ الله تعالى: {حَتَّى إِذَا اسْتَيْأَسَ الرُّسُلُ} [يوسف: ١١٠]،  </w:t>
      </w:r>
      <w:r>
        <w:rPr>
          <w:color w:val="FF0000"/>
          <w:rtl w:val="1"/>
        </w:rPr>
        <w:t xml:space="preserve">قال: قلتُ: أكُذِبوا أم كُذِّبُوا؟ قالت عائشةُ: كُذِّبُوا،  </w:t>
      </w:r>
      <w:r>
        <w:rPr>
          <w:color w:val="FF0000"/>
          <w:rtl w:val="1"/>
        </w:rPr>
        <w:t xml:space="preserve">قلتُ: فقَدِ استَيقَنوا أنَّ قومَهم كَذَّبُوهُم، فما هو بالظَّنِّ؟ قالت: أجَلْ لَعَمْري، لَقَدِ استَيقَنوا بذلكَ،  </w:t>
      </w:r>
      <w:r>
        <w:rPr>
          <w:color w:val="FF0000"/>
          <w:rtl w:val="1"/>
        </w:rPr>
        <w:t xml:space="preserve">فقلتُ لها: وظَنُّوا أنَّهم قد كُذِبُوا؟ قالت: مَعاذَ الله، لم تَكُنِ الرُّسُلُ تَظُنُّ ذلكَ برَبِّها،  </w:t>
      </w:r>
      <w:r>
        <w:rPr>
          <w:color w:val="FF0000"/>
          <w:rtl w:val="1"/>
        </w:rPr>
        <w:t xml:space="preserve">قلتُ: فما هذه الآيةُ؟ قالت: هم أتباعُ الرُّسُلِ الَّذينَ آمَنوا برَبِّهم، وصَدَّقُوهُم، فطالَ عليهمُ البَلاءُ، واستأْخَرَ عنهم النَّصْرُ، حتَّى إذا استَيأسَ الرُّسُلُ ممَّن كَذَّبَهم من قومِهم، وظَنَّتِ الرُّسُلُ أنَّ أتباعَهم قد كَذَّبُوهُم، جاءَهم نَصْرُ الله عندَ ذلكَ. </w:t>
      </w:r>
    </w:p>
    <w:p>
      <w:pPr>
        <w:bidi w:val="1"/>
        <w:jc w:val="start"/>
      </w:pPr>
      <w:r>
        <w:rPr>
          <w:rtl w:val="1"/>
        </w:rPr>
        <w:t>درجة الحديث: صحيح</w:t>
      </w:r>
    </w:p>
    <w:p>
      <w:pPr>
        <w:bidi w:val="1"/>
        <w:jc w:val="start"/>
      </w:pPr>
      <w:r>
        <w:rPr>
          <w:rtl w:val="1"/>
        </w:rPr>
        <w:t>الشرح: الدلالة: قيمة سؤال أهل الاختصاص ومذاكرتهم - قيم تقدير العِلم</w:t>
      </w:r>
    </w:p>
    <w:p>
      <w:pPr>
        <w:bidi w:val="1"/>
        <w:jc w:val="start"/>
      </w:pPr>
      <w:r>
        <w:rPr>
          <w:rtl w:val="1"/>
        </w:rPr>
        <w:t>الشرح: الدلالة: الصبر - مبادئ الحرب الأساسية وعوامل النصر</w:t>
      </w:r>
    </w:p>
    <w:p>
      <w:pPr>
        <w:bidi w:val="1"/>
        <w:jc w:val="start"/>
      </w:pPr>
      <w:r>
        <w:rPr>
          <w:rtl w:val="1"/>
        </w:rPr>
        <w:t>الشرح: الدلالة: صيانة المعنويات - مبادئ الحرب الأساسية وعوامل النصر</w:t>
      </w:r>
    </w:p>
    <w:p>
      <w:pPr>
        <w:bidi w:val="1"/>
        <w:jc w:val="start"/>
      </w:pPr>
      <w:r>
        <w:rPr>
          <w:rtl w:val="1"/>
        </w:rPr>
        <w:t>الشرح: الدلالة: إشاعة الأمل - مبادئ الحرب الأساسية وعوامل النصر</w:t>
      </w:r>
    </w:p>
    <w:p>
      <w:pPr>
        <w:bidi w:val="1"/>
        <w:jc w:val="start"/>
      </w:pPr>
      <w:r>
        <w:rPr>
          <w:rtl w:val="1"/>
        </w:rPr>
        <w:t>الشرح: الدلالة: إدامة المعنويات - مبادئ الحرب الأساسية وعوامل النصر</w:t>
      </w:r>
    </w:p>
    <w:p>
      <w:pPr>
        <w:bidi w:val="1"/>
        <w:jc w:val="start"/>
      </w:pPr>
      <w:r>
        <w:rPr>
          <w:rtl w:val="1"/>
        </w:rPr>
        <w:t>الشرح: الدلالة: التربية الإيمانية - الأهداف</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updateFields w:val="tru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4"/>
      <w:rFonts w:cs="Aria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