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7932 — الرقم الفرعي: 99 — الرقم الأصلي: 7932 — ج: 2 — ص: 295</w:t>
        <w:br/>
      </w:r>
      <w:r>
        <w:rPr>
          <w:rtl w:val="1"/>
        </w:rPr>
        <w:t xml:space="preserve"> حدثنا يزيد أخبرنا همّام عن قتادة عن أبي ميمونة عن أبي هريرة</w:t>
        <w:br/>
      </w:r>
      <w:r>
        <w:rPr>
          <w:color w:val="FF0000"/>
          <w:rtl w:val="1"/>
        </w:rPr>
        <w:t xml:space="preserve">قال: قلتُ: يا رسولَ الله، إنِّي إذا رأيتُكَ طابَتْ نفْسِي، وقرَّت عَيني، فأَنبِئْني عن كلِّ شَيء.  </w:t>
      </w:r>
      <w:r>
        <w:rPr>
          <w:color w:val="000000"/>
          <w:rtl w:val="1"/>
        </w:rPr>
        <w:t xml:space="preserve">فقال: «كلُّ شيءٍ خُلِق مِن ماء»  </w:t>
      </w:r>
      <w:r>
        <w:rPr>
          <w:color w:val="FF0000"/>
          <w:rtl w:val="1"/>
        </w:rPr>
        <w:t xml:space="preserve">قال: قلتُ: أَنبِئْني عن أَمرٍ إذا أَخذتُ به دخلتُ الجنّة.  </w:t>
      </w:r>
      <w:r>
        <w:rPr>
          <w:color w:val="FF0000"/>
          <w:rtl w:val="1"/>
        </w:rPr>
        <w:t xml:space="preserve">قال: «أَفْشِ السَّلام، وأَطعِم الطّعامَ، وصِلِ الأَرحامَ، وقُم باللَّيلِ والناسُ نِيام، ثم ادخُل الجَنّةَ بسَلام».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* إحسان العلاقات الاجتماعية - الأخلاق الموجبة لدخول الجنة</w:t>
      </w:r>
    </w:p>
    <w:p>
      <w:pPr>
        <w:bidi w:val="1"/>
        <w:jc w:val="start"/>
      </w:pPr>
      <w:r>
        <w:rPr>
          <w:rtl w:val="1"/>
        </w:rPr>
        <w:t xml:space="preserve">الشرح: الدلالة: أدبهم في لقائه ﷺ والاستماع إليه ومخاطبته - محبة الصحابة له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