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الاستتار في الخلاء-كتاب الطهارة-سنن أبي داود — رقم الحديث: 35 — الرقم الفرعي: 99 — الرقم الأصلي: 35</w:t>
        <w:br/>
      </w:r>
      <w:r>
        <w:rPr>
          <w:rtl w:val="1"/>
        </w:rPr>
        <w:t xml:space="preserve"> حدثنا إبراهيم بن موسى الرازيّ أخبرنا عيسى بن يونس عن ثور عن الحصين الحُبرانيّ عن أبي سعيد عن أبي هريرة عن النبيّ صلى الله عليه وسلم</w:t>
        <w:br/>
      </w:r>
      <w:r>
        <w:rPr>
          <w:color w:val="FF0000"/>
          <w:rtl w:val="1"/>
        </w:rPr>
        <w:t xml:space="preserve">قال: «مَن اكتحَلَ فليُوتِرْ،  </w:t>
      </w:r>
      <w:r>
        <w:rPr>
          <w:color w:val="FF0000"/>
          <w:rtl w:val="1"/>
        </w:rPr>
        <w:t xml:space="preserve">مَن فعلَ فقد أحسَنَ، ومَن لا فلا حَرَجَ،  </w:t>
      </w:r>
      <w:r>
        <w:rPr>
          <w:color w:val="FF0000"/>
          <w:rtl w:val="1"/>
        </w:rPr>
        <w:t xml:space="preserve">ومَن استَجمَرَ فليُوتِرْ،  </w:t>
      </w:r>
      <w:r>
        <w:rPr>
          <w:color w:val="FF0000"/>
          <w:rtl w:val="1"/>
        </w:rPr>
        <w:t xml:space="preserve">مَن فعلَ فقد أحسَنَ، ومَن لا فلا حَرَجَ،  </w:t>
      </w:r>
      <w:r>
        <w:rPr>
          <w:color w:val="000000"/>
          <w:rtl w:val="1"/>
        </w:rPr>
        <w:t xml:space="preserve">ومَن أكلَ فما تخلَّلَ فليَلفِظْ، وما لاكَ بلسانِهِ فليَبتَلِعْ،  </w:t>
      </w:r>
      <w:r>
        <w:rPr>
          <w:color w:val="FF0000"/>
          <w:rtl w:val="1"/>
        </w:rPr>
        <w:t xml:space="preserve">مَن فعلَ فقد أحسَنَ، ومَن لا فلا حَرَجَ،  </w:t>
      </w:r>
      <w:r>
        <w:rPr>
          <w:color w:val="FF0000"/>
          <w:rtl w:val="1"/>
        </w:rPr>
        <w:t xml:space="preserve">ومَن أتى الغائِطَ فليَستَتِرْ، فإن لم يَجِدْ إلّا أن يَجمَعَ كَثيبًا مِن رَملٍ فليَستَدبِرْهُ،  </w:t>
      </w:r>
      <w:r>
        <w:rPr>
          <w:color w:val="000000"/>
          <w:rtl w:val="1"/>
        </w:rPr>
        <w:t xml:space="preserve">فإنَّ الشَّيطانَ يَلعَبُ بمقاعِدِ بني آدَمَ،  </w:t>
      </w:r>
      <w:r>
        <w:rPr>
          <w:color w:val="FF0000"/>
          <w:rtl w:val="1"/>
        </w:rPr>
        <w:t xml:space="preserve">مَن فعلَ فقد أحسَنَ، ومَن لا فلا حَرَج».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الاكتحال - زينة البدن</w:t>
      </w:r>
    </w:p>
    <w:p>
      <w:pPr>
        <w:bidi w:val="1"/>
        <w:jc w:val="start"/>
      </w:pPr>
      <w:r>
        <w:rPr>
          <w:rtl w:val="1"/>
        </w:rPr>
        <w:t>الشرح: الدلالة: الاستجمار وتراً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الاستتار - واجبات قضاء الحاجة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